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הילה מלר-שלו</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F5134" w:rsidRDefault="0047452D">
                <w:pPr>
                  <w:rPr>
                    <w:rFonts w:ascii="Arial (W1)" w:hAnsi="Arial (W1)"/>
                    <w:b/>
                    <w:bCs/>
                    <w:noProof w:val="0"/>
                    <w:sz w:val="28"/>
                    <w:szCs w:val="28"/>
                  </w:rPr>
                </w:pPr>
                <w:r>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6816EC" w:rsidRDefault="00E22053" w:rsidP="00EC6A08">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FB3C14">
                  <w:rPr>
                    <w:rFonts w:hint="cs"/>
                    <w:b/>
                    <w:bCs/>
                    <w:noProof w:val="0"/>
                    <w:sz w:val="28"/>
                    <w:rtl/>
                  </w:rPr>
                  <w:t>1</w:t>
                </w:r>
              </w:sdtContent>
            </w:sdt>
            <w:r w:rsidR="006816EC">
              <w:rPr>
                <w:rFonts w:hint="cs"/>
                <w:b/>
                <w:bCs/>
                <w:noProof w:val="0"/>
                <w:sz w:val="28"/>
                <w:rtl/>
              </w:rPr>
              <w:t>.</w:t>
            </w:r>
            <w:r w:rsidR="00EC6A08">
              <w:rPr>
                <w:rFonts w:hint="cs"/>
                <w:b/>
                <w:bCs/>
                <w:noProof w:val="0"/>
                <w:sz w:val="28"/>
                <w:rtl/>
              </w:rPr>
              <w:t>פ'</w:t>
            </w:r>
            <w:r w:rsidR="00E44DDF">
              <w:rPr>
                <w:rFonts w:hint="cs"/>
                <w:b/>
                <w:bCs/>
                <w:noProof w:val="0"/>
                <w:sz w:val="28"/>
                <w:rtl/>
              </w:rPr>
              <w:t xml:space="preserve"> </w:t>
            </w:r>
          </w:p>
          <w:p w:rsidR="006816EC" w:rsidRDefault="00E22053" w:rsidP="00EC6A08">
            <w:pPr>
              <w:rPr>
                <w:rFonts w:ascii="Arial (W1)" w:hAnsi="Arial (W1)"/>
                <w:b/>
                <w:bCs/>
                <w:noProof w:val="0"/>
                <w:sz w:val="28"/>
                <w:szCs w:val="28"/>
              </w:rPr>
            </w:pPr>
            <w:sdt>
              <w:sdtPr>
                <w:rPr>
                  <w:rFonts w:hint="cs"/>
                  <w:b/>
                  <w:bCs/>
                  <w:noProof w:val="0"/>
                  <w:sz w:val="28"/>
                  <w:rtl/>
                </w:rPr>
                <w:alias w:val="1462"/>
                <w:tag w:val="1462"/>
                <w:id w:val="-40061816"/>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78"/>
                <w:tag w:val="1478"/>
                <w:id w:val="-1035353470"/>
                <w:text w:multiLine="1"/>
              </w:sdtPr>
              <w:sdtEndPr/>
              <w:sdtContent>
                <w:r w:rsidR="00EC6A08">
                  <w:rPr>
                    <w:rFonts w:hint="cs"/>
                    <w:b/>
                    <w:bCs/>
                    <w:noProof w:val="0"/>
                    <w:sz w:val="28"/>
                    <w:rtl/>
                  </w:rPr>
                  <w:t>ס'</w:t>
                </w:r>
              </w:sdtContent>
            </w:sdt>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91189D">
        <w:trPr>
          <w:trHeight w:val="1139"/>
          <w:jc w:val="center"/>
        </w:trPr>
        <w:tc>
          <w:tcPr>
            <w:tcW w:w="3249" w:type="dxa"/>
            <w:gridSpan w:val="2"/>
          </w:tcPr>
          <w:p w:rsidR="006816EC" w:rsidRDefault="006816EC">
            <w:pPr>
              <w:rPr>
                <w:rFonts w:ascii="Arial (W1)" w:hAnsi="Arial (W1)"/>
                <w:b/>
                <w:bCs/>
                <w:noProof w:val="0"/>
                <w:sz w:val="28"/>
                <w:szCs w:val="28"/>
                <w:rtl/>
              </w:rPr>
            </w:pPr>
          </w:p>
          <w:p w:rsidR="006816EC" w:rsidRDefault="00E22053">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E22053" w:rsidP="00EC6A08">
            <w:pPr>
              <w:rPr>
                <w:rFonts w:ascii="Arial (W1)" w:hAnsi="Arial (W1)"/>
                <w:b/>
                <w:bCs/>
                <w:noProof w:val="0"/>
                <w:sz w:val="28"/>
                <w:szCs w:val="28"/>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r w:rsidR="00EC6A08">
              <w:rPr>
                <w:rFonts w:hint="cs"/>
                <w:b/>
                <w:bCs/>
                <w:noProof w:val="0"/>
                <w:sz w:val="28"/>
                <w:rtl/>
              </w:rPr>
              <w:t>ש'</w:t>
            </w:r>
          </w:p>
          <w:p w:rsidR="006816EC" w:rsidRDefault="00E22053" w:rsidP="00EC6A08">
            <w:pPr>
              <w:rPr>
                <w:rFonts w:ascii="Arial (W1)" w:hAnsi="Arial (W1)"/>
                <w:b/>
                <w:bCs/>
                <w:noProof w:val="0"/>
                <w:sz w:val="28"/>
                <w:szCs w:val="28"/>
              </w:rPr>
            </w:pPr>
            <w:sdt>
              <w:sdtPr>
                <w:rPr>
                  <w:rFonts w:hint="cs"/>
                  <w:rtl/>
                </w:rPr>
                <w:alias w:val="1571"/>
                <w:tag w:val="1571"/>
                <w:id w:val="-1428265468"/>
                <w:text w:multiLine="1"/>
              </w:sdtPr>
              <w:sdtEndPr/>
              <w:sdtContent>
                <w:r w:rsidR="00FB3C14">
                  <w:rPr>
                    <w:rFonts w:hint="cs"/>
                    <w:b/>
                    <w:bCs/>
                    <w:noProof w:val="0"/>
                    <w:sz w:val="28"/>
                    <w:rtl/>
                  </w:rPr>
                  <w:t>2</w:t>
                </w:r>
              </w:sdtContent>
            </w:sdt>
            <w:r w:rsidR="006816EC">
              <w:rPr>
                <w:rFonts w:hint="cs"/>
                <w:b/>
                <w:bCs/>
                <w:noProof w:val="0"/>
                <w:sz w:val="28"/>
                <w:rtl/>
              </w:rPr>
              <w:t>.</w:t>
            </w:r>
            <w:r w:rsidR="00EC6A08">
              <w:rPr>
                <w:rFonts w:hint="cs"/>
                <w:b/>
                <w:bCs/>
                <w:noProof w:val="0"/>
                <w:sz w:val="28"/>
                <w:rtl/>
              </w:rPr>
              <w:t>ת'</w:t>
            </w:r>
            <w:r w:rsidR="00E44DDF">
              <w:rPr>
                <w:rFonts w:hint="cs"/>
                <w:rtl/>
              </w:rPr>
              <w:t xml:space="preserve"> </w:t>
            </w:r>
            <w:r w:rsidR="00F848AC">
              <w:rPr>
                <w:rtl/>
              </w:rPr>
              <w:br/>
            </w:r>
            <w:r w:rsidR="00F848AC">
              <w:rPr>
                <w:rFonts w:hint="cs"/>
                <w:rtl/>
              </w:rPr>
              <w:t xml:space="preserve">   </w:t>
            </w:r>
            <w:r w:rsidR="0091189D">
              <w:rPr>
                <w:rFonts w:hint="cs"/>
                <w:b/>
                <w:bCs/>
                <w:rtl/>
              </w:rPr>
              <w:t>באמצעות יורשיו</w:t>
            </w:r>
            <w:r w:rsidR="005D6D81">
              <w:rPr>
                <w:rFonts w:hint="cs"/>
                <w:b/>
                <w:bCs/>
                <w:rtl/>
              </w:rPr>
              <w:t xml:space="preserve"> -</w:t>
            </w:r>
            <w:r w:rsidR="0091189D">
              <w:rPr>
                <w:rFonts w:hint="cs"/>
                <w:b/>
                <w:bCs/>
                <w:rtl/>
              </w:rPr>
              <w:t xml:space="preserve"> הנתבעת 1, </w:t>
            </w:r>
            <w:r w:rsidR="00EC6A08">
              <w:rPr>
                <w:rFonts w:hint="cs"/>
                <w:b/>
                <w:bCs/>
                <w:rtl/>
              </w:rPr>
              <w:t>ש'</w:t>
            </w:r>
            <w:r w:rsidR="00F848AC">
              <w:rPr>
                <w:rFonts w:hint="cs"/>
                <w:b/>
                <w:bCs/>
                <w:noProof w:val="0"/>
                <w:sz w:val="28"/>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CF5134" w:rsidRDefault="00CF5134">
            <w:pPr>
              <w:rPr>
                <w:rFonts w:ascii="David" w:eastAsia="David" w:hAnsi="David"/>
                <w:noProof w:val="0"/>
              </w:rPr>
            </w:pPr>
          </w:p>
        </w:tc>
        <w:tc>
          <w:tcPr>
            <w:tcW w:w="5571" w:type="dxa"/>
          </w:tcPr>
          <w:p w:rsidR="00CF5134" w:rsidRDefault="00CF5134">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2F765C" w:rsidRDefault="002F765C" w:rsidP="002F765C">
      <w:pPr>
        <w:spacing w:line="360" w:lineRule="auto"/>
        <w:jc w:val="both"/>
        <w:rPr>
          <w:rFonts w:ascii="David" w:hAnsi="David"/>
          <w:noProof w:val="0"/>
          <w:rtl/>
        </w:rPr>
      </w:pPr>
      <w:r>
        <w:rPr>
          <w:rFonts w:ascii="David" w:hAnsi="David"/>
          <w:rtl/>
        </w:rPr>
        <w:t xml:space="preserve">פסק דין זה עניינו הכרעה בתביעה כספית בסך 450,000 ₪; במסגרתה עותרים התובעים לקבלת הסעד הכספי, בהיותו סכום ההחזר הנדרש, לטענתם, בגין הלוואה שניתנה על ידם לידי הנתבעים. </w:t>
      </w:r>
    </w:p>
    <w:p w:rsidR="0013163F" w:rsidRDefault="0013163F" w:rsidP="002F765C">
      <w:pPr>
        <w:spacing w:line="360" w:lineRule="auto"/>
        <w:jc w:val="both"/>
        <w:rPr>
          <w:rFonts w:ascii="David" w:hAnsi="David"/>
          <w:noProof w:val="0"/>
        </w:rPr>
      </w:pPr>
    </w:p>
    <w:p w:rsidR="0013163F" w:rsidRDefault="0013163F" w:rsidP="002F765C">
      <w:pPr>
        <w:spacing w:line="360" w:lineRule="auto"/>
        <w:jc w:val="both"/>
        <w:rPr>
          <w:rFonts w:ascii="David" w:hAnsi="David"/>
          <w:b/>
          <w:bCs/>
          <w:u w:val="single"/>
          <w:rtl/>
        </w:rPr>
      </w:pPr>
    </w:p>
    <w:p w:rsidR="002F765C" w:rsidRDefault="002F765C" w:rsidP="002F765C">
      <w:pPr>
        <w:spacing w:line="360" w:lineRule="auto"/>
        <w:jc w:val="both"/>
        <w:rPr>
          <w:rFonts w:ascii="David" w:hAnsi="David"/>
          <w:b/>
          <w:bCs/>
          <w:u w:val="single"/>
          <w:rtl/>
        </w:rPr>
      </w:pPr>
      <w:r>
        <w:rPr>
          <w:rFonts w:ascii="David" w:hAnsi="David"/>
          <w:b/>
          <w:bCs/>
          <w:u w:val="single"/>
          <w:rtl/>
        </w:rPr>
        <w:t>רקע עובדתי נדרש</w:t>
      </w:r>
    </w:p>
    <w:p w:rsidR="0013163F" w:rsidRDefault="0013163F" w:rsidP="002F765C">
      <w:pPr>
        <w:spacing w:line="360" w:lineRule="auto"/>
        <w:jc w:val="both"/>
        <w:rPr>
          <w:rFonts w:ascii="David" w:hAnsi="David"/>
        </w:rPr>
      </w:pPr>
    </w:p>
    <w:p w:rsidR="002F765C" w:rsidRDefault="002F765C" w:rsidP="002F765C">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התובעים הם בני זוג הנשואים זו לזה; הנתבעים הם הוריה של התובעת וחמיו של התובע.</w:t>
      </w:r>
    </w:p>
    <w:p w:rsidR="002F765C" w:rsidRDefault="002F765C" w:rsidP="002F765C">
      <w:pPr>
        <w:pStyle w:val="ad"/>
        <w:spacing w:line="360" w:lineRule="auto"/>
        <w:jc w:val="both"/>
        <w:rPr>
          <w:rFonts w:ascii="David" w:hAnsi="David" w:cs="David"/>
          <w:sz w:val="24"/>
          <w:szCs w:val="24"/>
        </w:rPr>
      </w:pPr>
    </w:p>
    <w:p w:rsidR="002F765C" w:rsidRDefault="002F765C" w:rsidP="00EC6A08">
      <w:pPr>
        <w:pStyle w:val="ad"/>
        <w:numPr>
          <w:ilvl w:val="0"/>
          <w:numId w:val="1"/>
        </w:numPr>
        <w:spacing w:line="360" w:lineRule="auto"/>
        <w:jc w:val="both"/>
        <w:rPr>
          <w:rFonts w:ascii="David" w:hAnsi="David" w:cs="David"/>
          <w:sz w:val="24"/>
          <w:szCs w:val="24"/>
        </w:rPr>
      </w:pPr>
      <w:r>
        <w:rPr>
          <w:rFonts w:ascii="David" w:hAnsi="David" w:cs="David"/>
          <w:sz w:val="24"/>
          <w:szCs w:val="24"/>
          <w:rtl/>
        </w:rPr>
        <w:t>ביום</w:t>
      </w:r>
      <w:r w:rsidR="00EC6A08">
        <w:rPr>
          <w:rFonts w:ascii="David" w:hAnsi="David" w:cs="David" w:hint="cs"/>
          <w:sz w:val="24"/>
          <w:szCs w:val="24"/>
          <w:rtl/>
        </w:rPr>
        <w:t xml:space="preserve"> </w:t>
      </w:r>
      <w:r w:rsidR="00EC6A08">
        <w:rPr>
          <w:rFonts w:ascii="David" w:hAnsi="David" w:cs="David"/>
          <w:sz w:val="24"/>
          <w:szCs w:val="24"/>
        </w:rPr>
        <w:t>x.x.2021</w:t>
      </w:r>
      <w:r>
        <w:rPr>
          <w:rFonts w:ascii="David" w:hAnsi="David" w:cs="David"/>
          <w:sz w:val="24"/>
          <w:szCs w:val="24"/>
          <w:rtl/>
        </w:rPr>
        <w:t xml:space="preserve">, הלך הנתבע לבית עולמו, למרבה הצער; בהתאם לצו לקיום צוואתו מיום </w:t>
      </w:r>
      <w:r w:rsidR="00EC6A08">
        <w:rPr>
          <w:rFonts w:ascii="David" w:hAnsi="David" w:cs="David"/>
          <w:sz w:val="24"/>
          <w:szCs w:val="24"/>
        </w:rPr>
        <w:t>x.x.2022</w:t>
      </w:r>
      <w:r>
        <w:rPr>
          <w:rFonts w:ascii="David" w:hAnsi="David" w:cs="David"/>
          <w:sz w:val="24"/>
          <w:szCs w:val="24"/>
          <w:rtl/>
        </w:rPr>
        <w:t xml:space="preserve"> הנתבעת, רעייתו, היא היורשת הבאה בנעליו (ר' החלטה מיום 21.3.22; </w:t>
      </w:r>
      <w:r>
        <w:rPr>
          <w:rFonts w:ascii="David" w:hAnsi="David" w:cs="David"/>
          <w:sz w:val="24"/>
          <w:szCs w:val="24"/>
          <w:rtl/>
        </w:rPr>
        <w:br/>
        <w:t xml:space="preserve">ר' החלטה מיום 28.3.2022); בהיות הנתבעת בשני כובעים, ולנוחות העניין, ייקראו הצדדים להלן ובהתאמה: </w:t>
      </w:r>
      <w:r>
        <w:rPr>
          <w:rFonts w:ascii="David" w:hAnsi="David" w:cs="David"/>
          <w:b/>
          <w:bCs/>
          <w:sz w:val="24"/>
          <w:szCs w:val="24"/>
          <w:rtl/>
        </w:rPr>
        <w:t>"התובעים"</w:t>
      </w:r>
      <w:r>
        <w:rPr>
          <w:rFonts w:ascii="David" w:hAnsi="David" w:cs="David"/>
          <w:sz w:val="24"/>
          <w:szCs w:val="24"/>
          <w:rtl/>
        </w:rPr>
        <w:t xml:space="preserve"> ו</w:t>
      </w:r>
      <w:r>
        <w:rPr>
          <w:rFonts w:ascii="David" w:hAnsi="David" w:cs="David"/>
          <w:b/>
          <w:bCs/>
          <w:sz w:val="24"/>
          <w:szCs w:val="24"/>
          <w:rtl/>
        </w:rPr>
        <w:t>"הנתבעים"</w:t>
      </w:r>
      <w:r>
        <w:rPr>
          <w:rFonts w:ascii="David" w:hAnsi="David" w:cs="David"/>
          <w:sz w:val="24"/>
          <w:szCs w:val="24"/>
          <w:rtl/>
        </w:rPr>
        <w:t>.</w:t>
      </w:r>
    </w:p>
    <w:p w:rsidR="002F765C" w:rsidRDefault="002F765C" w:rsidP="002F765C">
      <w:pPr>
        <w:pStyle w:val="ad"/>
        <w:spacing w:line="360" w:lineRule="auto"/>
        <w:jc w:val="both"/>
        <w:rPr>
          <w:rFonts w:ascii="David" w:hAnsi="David" w:cs="David"/>
          <w:sz w:val="24"/>
          <w:szCs w:val="24"/>
          <w:rtl/>
        </w:rPr>
      </w:pPr>
    </w:p>
    <w:p w:rsidR="0013163F" w:rsidRDefault="0013163F" w:rsidP="002F765C">
      <w:pPr>
        <w:pStyle w:val="ad"/>
        <w:spacing w:line="360" w:lineRule="auto"/>
        <w:jc w:val="both"/>
        <w:rPr>
          <w:rFonts w:ascii="David" w:hAnsi="David" w:cs="David"/>
          <w:sz w:val="24"/>
          <w:szCs w:val="24"/>
          <w:rtl/>
        </w:rPr>
      </w:pPr>
    </w:p>
    <w:p w:rsidR="0013163F" w:rsidRDefault="0013163F" w:rsidP="002F765C">
      <w:pPr>
        <w:pStyle w:val="ad"/>
        <w:spacing w:line="360" w:lineRule="auto"/>
        <w:jc w:val="both"/>
        <w:rPr>
          <w:rFonts w:ascii="David" w:hAnsi="David" w:cs="David"/>
          <w:sz w:val="24"/>
          <w:szCs w:val="24"/>
          <w:rtl/>
        </w:rPr>
      </w:pPr>
    </w:p>
    <w:p w:rsidR="0013163F" w:rsidRDefault="0013163F" w:rsidP="002F765C">
      <w:pPr>
        <w:pStyle w:val="ad"/>
        <w:spacing w:line="360" w:lineRule="auto"/>
        <w:jc w:val="both"/>
        <w:rPr>
          <w:rFonts w:ascii="David" w:hAnsi="David" w:cs="David"/>
          <w:sz w:val="24"/>
          <w:szCs w:val="24"/>
          <w:rtl/>
        </w:rPr>
      </w:pPr>
    </w:p>
    <w:p w:rsidR="0013163F" w:rsidRDefault="0013163F" w:rsidP="002F765C">
      <w:pPr>
        <w:pStyle w:val="ad"/>
        <w:spacing w:line="360" w:lineRule="auto"/>
        <w:jc w:val="both"/>
        <w:rPr>
          <w:rFonts w:ascii="David" w:hAnsi="David" w:cs="David"/>
          <w:sz w:val="24"/>
          <w:szCs w:val="24"/>
          <w:rtl/>
        </w:rPr>
      </w:pPr>
    </w:p>
    <w:p w:rsidR="0013163F" w:rsidRDefault="0013163F" w:rsidP="002F765C">
      <w:pPr>
        <w:pStyle w:val="ad"/>
        <w:spacing w:line="360" w:lineRule="auto"/>
        <w:jc w:val="both"/>
        <w:rPr>
          <w:rFonts w:ascii="David" w:hAnsi="David" w:cs="David"/>
          <w:sz w:val="24"/>
          <w:szCs w:val="24"/>
        </w:rPr>
      </w:pPr>
    </w:p>
    <w:p w:rsidR="002F765C" w:rsidRDefault="002F765C" w:rsidP="002F765C">
      <w:pPr>
        <w:pStyle w:val="ad"/>
        <w:numPr>
          <w:ilvl w:val="0"/>
          <w:numId w:val="1"/>
        </w:numPr>
        <w:spacing w:line="360" w:lineRule="auto"/>
        <w:jc w:val="both"/>
        <w:rPr>
          <w:rFonts w:ascii="David" w:hAnsi="David" w:cs="David"/>
          <w:sz w:val="24"/>
          <w:szCs w:val="24"/>
          <w:u w:val="single"/>
        </w:rPr>
      </w:pPr>
      <w:r>
        <w:rPr>
          <w:rFonts w:ascii="David" w:hAnsi="David" w:cs="David"/>
          <w:sz w:val="24"/>
          <w:szCs w:val="24"/>
          <w:u w:val="single"/>
          <w:rtl/>
        </w:rPr>
        <w:lastRenderedPageBreak/>
        <w:t xml:space="preserve">הצדדים הגדירו </w:t>
      </w:r>
      <w:r>
        <w:rPr>
          <w:rFonts w:ascii="David" w:hAnsi="David" w:cs="David"/>
          <w:b/>
          <w:bCs/>
          <w:sz w:val="24"/>
          <w:szCs w:val="24"/>
          <w:u w:val="single"/>
          <w:rtl/>
        </w:rPr>
        <w:t xml:space="preserve">בהסכמה </w:t>
      </w:r>
      <w:r>
        <w:rPr>
          <w:rFonts w:ascii="David" w:hAnsi="David" w:cs="David"/>
          <w:sz w:val="24"/>
          <w:szCs w:val="24"/>
          <w:u w:val="single"/>
          <w:rtl/>
        </w:rPr>
        <w:t>את העובדות שעליהן אין חולק, כמו גם הפלוגתא העומדת להכרעה בגדרי ההליך, כדלקמן</w:t>
      </w:r>
      <w:r>
        <w:rPr>
          <w:rFonts w:ascii="David" w:hAnsi="David" w:cs="David"/>
          <w:sz w:val="24"/>
          <w:szCs w:val="24"/>
          <w:rtl/>
        </w:rPr>
        <w:t>:</w:t>
      </w:r>
    </w:p>
    <w:p w:rsidR="00860DCE" w:rsidRDefault="00860DCE" w:rsidP="00860DCE">
      <w:pPr>
        <w:pStyle w:val="ad"/>
        <w:spacing w:line="360" w:lineRule="auto"/>
        <w:jc w:val="both"/>
        <w:rPr>
          <w:rFonts w:ascii="David" w:hAnsi="David" w:cs="David"/>
          <w:sz w:val="24"/>
          <w:szCs w:val="24"/>
          <w:u w:val="single"/>
          <w:rtl/>
        </w:rPr>
      </w:pPr>
    </w:p>
    <w:p w:rsidR="00860DCE" w:rsidRPr="00860DCE" w:rsidRDefault="00860DCE" w:rsidP="00860DCE">
      <w:pPr>
        <w:pStyle w:val="ad"/>
        <w:spacing w:line="360" w:lineRule="auto"/>
        <w:jc w:val="both"/>
        <w:rPr>
          <w:rFonts w:ascii="David" w:hAnsi="David" w:cs="David"/>
          <w:b/>
          <w:bCs/>
          <w:sz w:val="24"/>
          <w:szCs w:val="24"/>
          <w:u w:val="single"/>
          <w:rtl/>
        </w:rPr>
      </w:pPr>
      <w:r>
        <w:rPr>
          <w:rFonts w:ascii="David" w:hAnsi="David" w:cs="David" w:hint="cs"/>
          <w:b/>
          <w:bCs/>
          <w:sz w:val="24"/>
          <w:szCs w:val="24"/>
          <w:u w:val="single"/>
          <w:rtl/>
        </w:rPr>
        <w:t>"</w:t>
      </w:r>
      <w:r w:rsidRPr="00860DCE">
        <w:rPr>
          <w:rFonts w:ascii="David" w:hAnsi="David" w:cs="David" w:hint="cs"/>
          <w:b/>
          <w:bCs/>
          <w:sz w:val="24"/>
          <w:szCs w:val="24"/>
          <w:u w:val="single"/>
          <w:rtl/>
        </w:rPr>
        <w:t>ב"כ הצדדים:</w:t>
      </w:r>
    </w:p>
    <w:p w:rsidR="00860DCE" w:rsidRPr="00C71CE1" w:rsidRDefault="00860DCE" w:rsidP="00860DCE">
      <w:pPr>
        <w:pStyle w:val="ad"/>
        <w:spacing w:line="360" w:lineRule="auto"/>
        <w:jc w:val="both"/>
        <w:rPr>
          <w:rFonts w:ascii="David" w:hAnsi="David" w:cs="David"/>
          <w:b/>
          <w:bCs/>
          <w:sz w:val="24"/>
          <w:szCs w:val="24"/>
          <w:rtl/>
        </w:rPr>
      </w:pPr>
      <w:r w:rsidRPr="00C71CE1">
        <w:rPr>
          <w:rFonts w:ascii="David" w:hAnsi="David" w:cs="David" w:hint="cs"/>
          <w:b/>
          <w:bCs/>
          <w:sz w:val="24"/>
          <w:szCs w:val="24"/>
          <w:rtl/>
        </w:rPr>
        <w:t>לשאלת ביהמ"ש להלן המוסכמות:</w:t>
      </w:r>
    </w:p>
    <w:p w:rsidR="00860DCE" w:rsidRPr="00C71CE1" w:rsidRDefault="00860DCE" w:rsidP="00860DCE">
      <w:pPr>
        <w:pStyle w:val="ad"/>
        <w:spacing w:line="360" w:lineRule="auto"/>
        <w:jc w:val="both"/>
        <w:rPr>
          <w:rFonts w:ascii="David" w:hAnsi="David" w:cs="David"/>
          <w:b/>
          <w:bCs/>
          <w:sz w:val="24"/>
          <w:szCs w:val="24"/>
          <w:rtl/>
        </w:rPr>
      </w:pPr>
      <w:r w:rsidRPr="00C71CE1">
        <w:rPr>
          <w:rFonts w:ascii="David" w:hAnsi="David" w:cs="David" w:hint="cs"/>
          <w:b/>
          <w:bCs/>
          <w:sz w:val="24"/>
          <w:szCs w:val="24"/>
          <w:rtl/>
        </w:rPr>
        <w:t>הפלוגתא בתיק היא גובה ההלוואה וסכום ההחזר.</w:t>
      </w:r>
    </w:p>
    <w:p w:rsidR="00860DCE" w:rsidRPr="00C71CE1" w:rsidRDefault="00860DCE" w:rsidP="00860DCE">
      <w:pPr>
        <w:pStyle w:val="ad"/>
        <w:spacing w:line="360" w:lineRule="auto"/>
        <w:jc w:val="both"/>
        <w:rPr>
          <w:rFonts w:ascii="David" w:hAnsi="David" w:cs="David"/>
          <w:b/>
          <w:bCs/>
          <w:sz w:val="24"/>
          <w:szCs w:val="24"/>
          <w:rtl/>
        </w:rPr>
      </w:pPr>
      <w:r w:rsidRPr="00C71CE1">
        <w:rPr>
          <w:rFonts w:ascii="David" w:hAnsi="David" w:cs="David" w:hint="cs"/>
          <w:b/>
          <w:bCs/>
          <w:sz w:val="24"/>
          <w:szCs w:val="24"/>
          <w:rtl/>
        </w:rPr>
        <w:t>אין מחלוקת על מחיר רכישת הדירה על ידי הנתבעת והמנוח ב-</w:t>
      </w:r>
      <w:r w:rsidRPr="00C71CE1">
        <w:rPr>
          <w:rFonts w:ascii="David" w:hAnsi="David" w:cs="David"/>
          <w:b/>
          <w:bCs/>
          <w:sz w:val="24"/>
          <w:szCs w:val="24"/>
        </w:rPr>
        <w:t>xxx</w:t>
      </w:r>
      <w:r w:rsidRPr="00C71CE1">
        <w:rPr>
          <w:rFonts w:ascii="David" w:hAnsi="David" w:cs="David" w:hint="cs"/>
          <w:b/>
          <w:bCs/>
          <w:sz w:val="24"/>
          <w:szCs w:val="24"/>
          <w:rtl/>
        </w:rPr>
        <w:t xml:space="preserve"> בסך 516,000 ₪ (סך 441,026 ₪ בתוספת מע"מ.</w:t>
      </w:r>
    </w:p>
    <w:p w:rsidR="00860DCE" w:rsidRPr="00C71CE1" w:rsidRDefault="00860DCE" w:rsidP="00860DCE">
      <w:pPr>
        <w:pStyle w:val="ad"/>
        <w:spacing w:line="360" w:lineRule="auto"/>
        <w:jc w:val="both"/>
        <w:rPr>
          <w:rFonts w:ascii="David" w:hAnsi="David" w:cs="David"/>
          <w:b/>
          <w:bCs/>
          <w:sz w:val="24"/>
          <w:szCs w:val="24"/>
          <w:rtl/>
        </w:rPr>
      </w:pPr>
      <w:r w:rsidRPr="00C71CE1">
        <w:rPr>
          <w:rFonts w:ascii="David" w:hAnsi="David" w:cs="David" w:hint="cs"/>
          <w:b/>
          <w:bCs/>
          <w:sz w:val="24"/>
          <w:szCs w:val="24"/>
          <w:rtl/>
        </w:rPr>
        <w:t>אין מחלוקת על מועד רכישת הדירה ב-</w:t>
      </w:r>
      <w:r w:rsidRPr="00C71CE1">
        <w:rPr>
          <w:rFonts w:ascii="David" w:hAnsi="David" w:cs="David"/>
          <w:b/>
          <w:bCs/>
          <w:sz w:val="24"/>
          <w:szCs w:val="24"/>
        </w:rPr>
        <w:t>xxx</w:t>
      </w:r>
    </w:p>
    <w:p w:rsidR="00860DCE" w:rsidRPr="00C71CE1" w:rsidRDefault="00860DCE" w:rsidP="00860DCE">
      <w:pPr>
        <w:pStyle w:val="ad"/>
        <w:spacing w:line="360" w:lineRule="auto"/>
        <w:jc w:val="both"/>
        <w:rPr>
          <w:rFonts w:ascii="David" w:hAnsi="David" w:cs="David"/>
          <w:b/>
          <w:bCs/>
          <w:sz w:val="24"/>
          <w:szCs w:val="24"/>
          <w:rtl/>
        </w:rPr>
      </w:pPr>
      <w:r w:rsidRPr="00C71CE1">
        <w:rPr>
          <w:rFonts w:ascii="David" w:hAnsi="David" w:cs="David" w:hint="cs"/>
          <w:b/>
          <w:bCs/>
          <w:sz w:val="24"/>
          <w:szCs w:val="24"/>
          <w:rtl/>
        </w:rPr>
        <w:t>אין מחלוקת לגבי שווי הדירה ביום הגשת התביעה בסך 1.5 מליון ₪"</w:t>
      </w:r>
    </w:p>
    <w:p w:rsidR="002F765C" w:rsidRDefault="002F765C" w:rsidP="002F765C">
      <w:pPr>
        <w:pStyle w:val="ad"/>
        <w:ind w:left="4320"/>
        <w:rPr>
          <w:rFonts w:ascii="David" w:hAnsi="David" w:cs="David"/>
          <w:sz w:val="24"/>
          <w:szCs w:val="24"/>
          <w:rtl/>
        </w:rPr>
      </w:pPr>
      <w:r>
        <w:rPr>
          <w:rFonts w:ascii="David" w:hAnsi="David" w:cs="David"/>
          <w:sz w:val="24"/>
          <w:szCs w:val="24"/>
          <w:rtl/>
        </w:rPr>
        <w:t>(ר' עמ' 6 לפרוט' מיום 31.10.22 ש' 23-30).</w:t>
      </w:r>
    </w:p>
    <w:p w:rsidR="002F765C" w:rsidRDefault="002F765C" w:rsidP="002F765C">
      <w:pPr>
        <w:pStyle w:val="ad"/>
        <w:spacing w:line="360" w:lineRule="auto"/>
        <w:jc w:val="both"/>
        <w:rPr>
          <w:rFonts w:ascii="David" w:hAnsi="David" w:cs="David"/>
          <w:sz w:val="24"/>
          <w:szCs w:val="24"/>
          <w:rtl/>
        </w:rPr>
      </w:pPr>
    </w:p>
    <w:p w:rsidR="002F765C" w:rsidRDefault="002F765C" w:rsidP="002F765C">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הסכמה נוספת</w:t>
      </w:r>
      <w:r>
        <w:rPr>
          <w:rFonts w:ascii="David" w:hAnsi="David" w:cs="David"/>
          <w:sz w:val="24"/>
          <w:szCs w:val="24"/>
          <w:rtl/>
        </w:rPr>
        <w:t xml:space="preserve"> שאליה הגיעו הצדדים, בסיום שמיעת הראיות, היא, כי ככל ותתקבל תביעת התובעים, </w:t>
      </w:r>
      <w:r>
        <w:rPr>
          <w:rFonts w:ascii="David" w:hAnsi="David" w:cs="David"/>
          <w:b/>
          <w:bCs/>
          <w:sz w:val="24"/>
          <w:szCs w:val="24"/>
          <w:rtl/>
        </w:rPr>
        <w:t xml:space="preserve">אין מניעה מבחינתם, כי פסה"ד יכלול הוראה שמימושו יערך רק </w:t>
      </w:r>
      <w:r>
        <w:rPr>
          <w:rFonts w:ascii="David" w:hAnsi="David" w:cs="David"/>
          <w:b/>
          <w:bCs/>
          <w:sz w:val="24"/>
          <w:szCs w:val="24"/>
          <w:rtl/>
        </w:rPr>
        <w:br/>
        <w:t>"ב-120 שנים לנתבעת", כלשונם, תוך שלצורך הבטחת המימוש תירשם הערת אזהרה בדבר אי עריכת עסקה"</w:t>
      </w:r>
      <w:r>
        <w:rPr>
          <w:rFonts w:ascii="David" w:hAnsi="David" w:cs="David"/>
          <w:sz w:val="24"/>
          <w:szCs w:val="24"/>
          <w:rtl/>
        </w:rPr>
        <w:t xml:space="preserve"> (ר' עמ' 32 לפרוט', ש' 13-18).</w:t>
      </w:r>
    </w:p>
    <w:p w:rsidR="002F765C" w:rsidRDefault="002F765C" w:rsidP="002F765C">
      <w:pPr>
        <w:pStyle w:val="ad"/>
        <w:spacing w:line="360" w:lineRule="auto"/>
        <w:jc w:val="both"/>
        <w:rPr>
          <w:rFonts w:ascii="David" w:hAnsi="David" w:cs="David"/>
          <w:sz w:val="24"/>
          <w:szCs w:val="24"/>
        </w:rPr>
      </w:pPr>
    </w:p>
    <w:p w:rsidR="002F765C" w:rsidRDefault="002F765C" w:rsidP="000D1EF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מטעם התובעים העיד התובע, וכן זומנה לעדות עוה"ד </w:t>
      </w:r>
      <w:r w:rsidR="000D1EF5">
        <w:rPr>
          <w:rFonts w:ascii="David" w:hAnsi="David" w:cs="David" w:hint="cs"/>
          <w:sz w:val="24"/>
          <w:szCs w:val="24"/>
          <w:rtl/>
        </w:rPr>
        <w:t>ג'</w:t>
      </w:r>
      <w:r>
        <w:rPr>
          <w:rFonts w:ascii="David" w:hAnsi="David" w:cs="David"/>
          <w:sz w:val="24"/>
          <w:szCs w:val="24"/>
          <w:rtl/>
        </w:rPr>
        <w:t xml:space="preserve">; מנגד נחקרה הנתבעת; בהינתן טיב יחסי הצדדים נערכו ניסיונות על ידי בית המשפט לסייע להם בגיבוש הסכמות שייתרו הצורך בהכרעה; ברם משלא צלח העניין, ניתנת בזאת ההכרעה דנא. </w:t>
      </w:r>
    </w:p>
    <w:p w:rsidR="009B08F0" w:rsidRDefault="009B08F0" w:rsidP="002F765C">
      <w:pPr>
        <w:spacing w:line="360" w:lineRule="auto"/>
        <w:jc w:val="both"/>
        <w:rPr>
          <w:rFonts w:ascii="David" w:hAnsi="David"/>
          <w:b/>
          <w:bCs/>
          <w:u w:val="single"/>
          <w:rtl/>
        </w:rPr>
      </w:pPr>
    </w:p>
    <w:p w:rsidR="002F765C" w:rsidRDefault="002F765C" w:rsidP="002F765C">
      <w:pPr>
        <w:spacing w:line="360" w:lineRule="auto"/>
        <w:jc w:val="both"/>
        <w:rPr>
          <w:rFonts w:ascii="David" w:hAnsi="David"/>
          <w:rtl/>
        </w:rPr>
      </w:pPr>
      <w:r>
        <w:rPr>
          <w:rFonts w:ascii="David" w:hAnsi="David"/>
          <w:b/>
          <w:bCs/>
          <w:u w:val="single"/>
          <w:rtl/>
        </w:rPr>
        <w:t>טענות הצדדים בעיקרן</w:t>
      </w:r>
    </w:p>
    <w:p w:rsidR="002F765C" w:rsidRDefault="002F765C" w:rsidP="002F765C">
      <w:pPr>
        <w:spacing w:line="360" w:lineRule="auto"/>
        <w:jc w:val="both"/>
        <w:rPr>
          <w:rFonts w:ascii="David" w:hAnsi="David"/>
          <w:b/>
          <w:bCs/>
          <w:u w:val="single"/>
          <w:rtl/>
        </w:rPr>
      </w:pPr>
      <w:r>
        <w:rPr>
          <w:rFonts w:ascii="David" w:hAnsi="David"/>
          <w:b/>
          <w:bCs/>
          <w:u w:val="single"/>
          <w:rtl/>
        </w:rPr>
        <w:t>התובעים</w:t>
      </w:r>
    </w:p>
    <w:p w:rsidR="002F765C" w:rsidRDefault="002F765C" w:rsidP="002F765C">
      <w:pPr>
        <w:pStyle w:val="ad"/>
        <w:numPr>
          <w:ilvl w:val="0"/>
          <w:numId w:val="2"/>
        </w:numPr>
        <w:spacing w:line="360" w:lineRule="auto"/>
        <w:jc w:val="both"/>
        <w:rPr>
          <w:rFonts w:ascii="David" w:hAnsi="David" w:cs="David"/>
          <w:sz w:val="24"/>
          <w:szCs w:val="24"/>
          <w:u w:val="single"/>
          <w:rtl/>
        </w:rPr>
      </w:pPr>
      <w:r>
        <w:rPr>
          <w:rFonts w:ascii="David" w:hAnsi="David" w:cs="David"/>
          <w:sz w:val="24"/>
          <w:szCs w:val="24"/>
          <w:rtl/>
        </w:rPr>
        <w:t xml:space="preserve">במהלך שנת 1998 או בסמוך מכרו הנתבעים את דירתם; בהיעדר דיור חלופי עבורם ומטוב ליבם הציעו התובעים לנתבעים, כי יתגוררו בביתם. הלכה למעשה, התגוררו הנתבעים בבית התובעים משך 3 שנים, שבהן לא שילמו דמי שכירות או נשאו בתשלום אחר, לרבות תשלומים הנוגעים לתחזוקה שוטפת של הנכס וחיו על חשבון התובעים. </w:t>
      </w:r>
    </w:p>
    <w:p w:rsidR="002F765C" w:rsidRDefault="002F765C" w:rsidP="00050021">
      <w:pPr>
        <w:pStyle w:val="ad"/>
        <w:numPr>
          <w:ilvl w:val="0"/>
          <w:numId w:val="2"/>
        </w:numPr>
        <w:spacing w:line="360" w:lineRule="auto"/>
        <w:jc w:val="both"/>
        <w:rPr>
          <w:rFonts w:ascii="David" w:hAnsi="David" w:cs="David"/>
          <w:sz w:val="24"/>
          <w:szCs w:val="24"/>
          <w:u w:val="single"/>
        </w:rPr>
      </w:pPr>
      <w:r>
        <w:rPr>
          <w:rFonts w:ascii="David" w:hAnsi="David" w:cs="David"/>
          <w:sz w:val="24"/>
          <w:szCs w:val="24"/>
          <w:rtl/>
        </w:rPr>
        <w:t xml:space="preserve">ביום </w:t>
      </w:r>
      <w:r w:rsidR="00050021">
        <w:rPr>
          <w:rFonts w:ascii="David" w:hAnsi="David" w:cs="David"/>
          <w:sz w:val="24"/>
          <w:szCs w:val="24"/>
        </w:rPr>
        <w:t>x.x.1999</w:t>
      </w:r>
      <w:r>
        <w:rPr>
          <w:rFonts w:ascii="David" w:hAnsi="David" w:cs="David"/>
          <w:sz w:val="24"/>
          <w:szCs w:val="24"/>
          <w:rtl/>
        </w:rPr>
        <w:t xml:space="preserve"> התקשרו הנתבעים בחוזה לרכישת דירה ב</w:t>
      </w:r>
      <w:r w:rsidR="000D1EF5">
        <w:rPr>
          <w:rFonts w:ascii="David" w:hAnsi="David" w:cs="David" w:hint="cs"/>
          <w:sz w:val="24"/>
          <w:szCs w:val="24"/>
          <w:rtl/>
        </w:rPr>
        <w:t>-</w:t>
      </w:r>
      <w:r w:rsidR="000D1EF5">
        <w:rPr>
          <w:rFonts w:ascii="David" w:hAnsi="David" w:cs="David"/>
          <w:sz w:val="24"/>
          <w:szCs w:val="24"/>
        </w:rPr>
        <w:t>xxx</w:t>
      </w:r>
      <w:r w:rsidR="000D1EF5">
        <w:rPr>
          <w:rFonts w:ascii="David" w:hAnsi="David" w:cs="David" w:hint="cs"/>
          <w:sz w:val="24"/>
          <w:szCs w:val="24"/>
          <w:rtl/>
        </w:rPr>
        <w:t xml:space="preserve"> </w:t>
      </w:r>
      <w:r>
        <w:rPr>
          <w:rFonts w:ascii="David" w:hAnsi="David" w:cs="David"/>
          <w:sz w:val="24"/>
          <w:szCs w:val="24"/>
          <w:rtl/>
        </w:rPr>
        <w:t xml:space="preserve">בסך של 441,026 ₪, כאשר התובע מלווה אותם בכל התהליך. במהלך שנת 2001 פנו הנתבעים בבקשה לתובעים שיעמידו להם הלוואה בסך של 147,000 ₪ במטרה לשלם את מלוא התמורה לדירה. </w:t>
      </w:r>
    </w:p>
    <w:p w:rsidR="002F765C" w:rsidRDefault="002F765C" w:rsidP="002F765C">
      <w:pPr>
        <w:pStyle w:val="ad"/>
        <w:numPr>
          <w:ilvl w:val="0"/>
          <w:numId w:val="2"/>
        </w:numPr>
        <w:spacing w:line="360" w:lineRule="auto"/>
        <w:jc w:val="both"/>
        <w:rPr>
          <w:rFonts w:ascii="David" w:hAnsi="David" w:cs="David"/>
          <w:sz w:val="24"/>
          <w:szCs w:val="24"/>
          <w:u w:val="single"/>
        </w:rPr>
      </w:pPr>
      <w:r>
        <w:rPr>
          <w:rFonts w:ascii="David" w:hAnsi="David" w:cs="David"/>
          <w:sz w:val="24"/>
          <w:szCs w:val="24"/>
          <w:rtl/>
        </w:rPr>
        <w:t xml:space="preserve">הצדדים שהיו בני משפחה מקרבה ראשונה נמנעו מלחתום על הסכם הלוואה מסודר, אולם ביניהם הוסכם על התנאים הבאים: כי קרן ההלוואה לא תישא הפרשי הצמדה או </w:t>
      </w:r>
      <w:r>
        <w:rPr>
          <w:rFonts w:ascii="David" w:hAnsi="David" w:cs="David"/>
          <w:sz w:val="24"/>
          <w:szCs w:val="24"/>
          <w:rtl/>
        </w:rPr>
        <w:lastRenderedPageBreak/>
        <w:t xml:space="preserve">ריבית וכי מועד פירעונה יהיה ביום מכירת הדירה או פטירת הנתבעים, אזי יקבלו התובעים 1/3 משוויה. </w:t>
      </w:r>
    </w:p>
    <w:p w:rsidR="002F765C" w:rsidRDefault="002F765C" w:rsidP="00050021">
      <w:pPr>
        <w:pStyle w:val="ad"/>
        <w:numPr>
          <w:ilvl w:val="0"/>
          <w:numId w:val="2"/>
        </w:numPr>
        <w:spacing w:line="360" w:lineRule="auto"/>
        <w:jc w:val="both"/>
        <w:rPr>
          <w:rFonts w:ascii="David" w:hAnsi="David" w:cs="David"/>
          <w:sz w:val="24"/>
          <w:szCs w:val="24"/>
          <w:u w:val="single"/>
        </w:rPr>
      </w:pPr>
      <w:r>
        <w:rPr>
          <w:rFonts w:ascii="David" w:hAnsi="David" w:cs="David"/>
          <w:sz w:val="24"/>
          <w:szCs w:val="24"/>
          <w:rtl/>
        </w:rPr>
        <w:t xml:space="preserve">הסכמות הצדדים קיבלו ביטוי במסגרת הוראות הצוואה ההדדית שנערכה על ידי הנתבעים ביום </w:t>
      </w:r>
      <w:r w:rsidR="00050021">
        <w:rPr>
          <w:rFonts w:ascii="David" w:hAnsi="David" w:cs="David"/>
          <w:sz w:val="24"/>
          <w:szCs w:val="24"/>
        </w:rPr>
        <w:t>x.x.2007</w:t>
      </w:r>
      <w:r>
        <w:rPr>
          <w:rFonts w:ascii="David" w:hAnsi="David" w:cs="David"/>
          <w:sz w:val="24"/>
          <w:szCs w:val="24"/>
          <w:rtl/>
        </w:rPr>
        <w:t xml:space="preserve">. </w:t>
      </w:r>
    </w:p>
    <w:p w:rsidR="002F765C" w:rsidRDefault="002F765C" w:rsidP="002F765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ברם, בשל מחלוקת שנתגלעה בין הצדדים, נוצר קרע בין הצדדים עת נותק הקשר בין הנתבעים לתובעים ולאחרונים נודע כי אלו הראשונים ערכו צוואה חדשה בה הדירו אותם מרכושם. </w:t>
      </w:r>
    </w:p>
    <w:p w:rsidR="002F765C" w:rsidRDefault="002F765C" w:rsidP="002F765C">
      <w:pPr>
        <w:pStyle w:val="ad"/>
        <w:numPr>
          <w:ilvl w:val="0"/>
          <w:numId w:val="2"/>
        </w:numPr>
        <w:spacing w:line="360" w:lineRule="auto"/>
        <w:jc w:val="both"/>
        <w:rPr>
          <w:rFonts w:ascii="David" w:hAnsi="David" w:cs="David"/>
          <w:sz w:val="24"/>
          <w:szCs w:val="24"/>
        </w:rPr>
      </w:pPr>
      <w:r>
        <w:rPr>
          <w:rFonts w:ascii="David" w:hAnsi="David" w:cs="David"/>
          <w:sz w:val="24"/>
          <w:szCs w:val="24"/>
          <w:rtl/>
        </w:rPr>
        <w:t>בשנת 2019, קיבלו התובעים מכתב מטעם ב"כ הנתבעת במסגרתו היא מבקשת להשיב את סכום ההלוואה העומד לשיטתה, בתוספת הצמדה למדד, בסך של 72,629 ₪ בלבד ובניגוד לתמורה שהוסכמה בין הצדדים.</w:t>
      </w:r>
    </w:p>
    <w:p w:rsidR="002F765C" w:rsidRDefault="002F765C" w:rsidP="002F765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בהתאם לנתונים הידועים לתובעים, שווי הדירה הינו 1,550,000 ₪, כך ששווי ההחזר הצפוי לתובעים הינו 500,000 ₪. לאור היחסים הרעועים בין הצדדים, אין ביכולתם לקבל חוות דעת שמאית. </w:t>
      </w:r>
    </w:p>
    <w:p w:rsidR="002F765C" w:rsidRDefault="002F765C" w:rsidP="002F765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התובע איש עסקים מזה שנים רבות; אלמלא העמיד את ההלוואה הנ"ל לנתבעים, יכול היה להשקיע בנכסי נדל"ן וליהנות מתמורה ראויה מזו שאמור לקבל מהנתבעים. לאור זאת, יש להורות על חיובם של הנתבעים בסך הנתבע בתוספת הוצאות משפט. </w:t>
      </w:r>
    </w:p>
    <w:p w:rsidR="002F765C" w:rsidRDefault="002F765C" w:rsidP="00513E69">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בתצהירם טענו, כי יש לתקן את סכום ההלוואה שניתן לנתבעים לסך של 172,000 ₪, זאת כאשר נשכח מן התובעים כי הסכום כלל מע"מ, בשל חלוף הזמן הרב ממועד מתן ההלוואה ועד למועד הגשת התביעה. הואיל והנתבעת היא שפנתה לצורך פירעון ההלוואה, הרי שקמה לתובעים הזכות לדרוש לקבל את כל סכום ההלוואה אף בטרם התקיימות כל תנאי ההלוואה. מעולם לא קיבלו סך של 11,000 מידי הנתבעת ואף לא גרמו לעריכתה של צוואת הנתבעים אצל עו"ד </w:t>
      </w:r>
      <w:r w:rsidR="00513E69">
        <w:rPr>
          <w:rFonts w:ascii="David" w:hAnsi="David" w:cs="David" w:hint="cs"/>
          <w:sz w:val="24"/>
          <w:szCs w:val="24"/>
          <w:rtl/>
        </w:rPr>
        <w:t>ג'</w:t>
      </w:r>
      <w:r>
        <w:rPr>
          <w:rFonts w:ascii="David" w:hAnsi="David" w:cs="David"/>
          <w:sz w:val="24"/>
          <w:szCs w:val="24"/>
          <w:rtl/>
        </w:rPr>
        <w:t xml:space="preserve"> זו הייתה בקשת הנתבעים בלבד. </w:t>
      </w:r>
    </w:p>
    <w:p w:rsidR="002F765C" w:rsidRDefault="002F765C" w:rsidP="002F765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בסיכומיהם הוסיפו, כי ההלוואה ע"ס 172,000 ניתנה לנתבעים, כאשר הוסכם כי תוחזר לתובעים בעת מכירת הדירה או פטירת הנתבעים, לפי המאוחר, כאשר יקבלו בחזרה שליש משווי הדירה במועד ההשבה. הנתבעים הם שפנו לתובעים בשנת 2007, כי ברצונם לערוך צוואות הדדיות, שם יעגנו את זכויותיהם של התובעים. </w:t>
      </w:r>
    </w:p>
    <w:p w:rsidR="002F765C" w:rsidRDefault="002F765C" w:rsidP="00645F6E">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עדותה של עו"ד </w:t>
      </w:r>
      <w:r w:rsidR="00513E69">
        <w:rPr>
          <w:rFonts w:ascii="David" w:hAnsi="David" w:cs="David" w:hint="cs"/>
          <w:sz w:val="24"/>
          <w:szCs w:val="24"/>
          <w:rtl/>
        </w:rPr>
        <w:t>ג'</w:t>
      </w:r>
      <w:r>
        <w:rPr>
          <w:rFonts w:ascii="David" w:hAnsi="David" w:cs="David"/>
          <w:sz w:val="24"/>
          <w:szCs w:val="24"/>
          <w:rtl/>
        </w:rPr>
        <w:t xml:space="preserve"> שערכה את צוואות הנתבעים הוכיחה את טענותיהם הצודקות של התובעים, לפיה הנתבעים הם ששיקפו לה את רצונם אשר בא לידי ביטוי בהוראות הצוואה שערכו אצלה. עוד הוסיפה עו"ד </w:t>
      </w:r>
      <w:r w:rsidR="00645F6E">
        <w:rPr>
          <w:rFonts w:ascii="David" w:hAnsi="David" w:cs="David" w:hint="cs"/>
          <w:sz w:val="24"/>
          <w:szCs w:val="24"/>
          <w:rtl/>
        </w:rPr>
        <w:t>ג'</w:t>
      </w:r>
      <w:r>
        <w:rPr>
          <w:rFonts w:ascii="David" w:hAnsi="David" w:cs="David"/>
          <w:sz w:val="24"/>
          <w:szCs w:val="24"/>
          <w:rtl/>
        </w:rPr>
        <w:t xml:space="preserve">, כי הנתבעת הייתה מעורה ופעילה מאוד באופן עריכת הצוואה וכי היא אישה דעתנית. מטעמה אף הוצגה תרשומת שערכה בכתב יד בדבר הסכומים שצוינו לה על ידי הנתבעים ביחס לרכישת הדירה ולסיוע הכספי שקיבלו מהתובע. </w:t>
      </w:r>
    </w:p>
    <w:p w:rsidR="002F765C" w:rsidRDefault="002F765C" w:rsidP="008300D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מעדות התובע, עלה כי ההלוואה לנתבעים ניתנה בשיעורים בהתאם לתשלומים בהם חויבו; עוד עלה כי בעת מגורי הנתבעים בביתם, הנתבעת לא עבדה. הוא שילם את שכרה </w:t>
      </w:r>
      <w:r>
        <w:rPr>
          <w:rFonts w:ascii="David" w:hAnsi="David" w:cs="David"/>
          <w:sz w:val="24"/>
          <w:szCs w:val="24"/>
          <w:rtl/>
        </w:rPr>
        <w:lastRenderedPageBreak/>
        <w:t>של עו"ד ג</w:t>
      </w:r>
      <w:r w:rsidR="008300DC">
        <w:rPr>
          <w:rFonts w:ascii="David" w:hAnsi="David" w:cs="David" w:hint="cs"/>
          <w:sz w:val="24"/>
          <w:szCs w:val="24"/>
          <w:rtl/>
        </w:rPr>
        <w:t>'</w:t>
      </w:r>
      <w:r>
        <w:rPr>
          <w:rFonts w:ascii="David" w:hAnsi="David" w:cs="David"/>
          <w:sz w:val="24"/>
          <w:szCs w:val="24"/>
          <w:rtl/>
        </w:rPr>
        <w:t>, לבקשת הנתבעים, כי לא הייתה להם אפשרות לשלם לה, אולם עו"ד ג</w:t>
      </w:r>
      <w:r w:rsidR="008300DC">
        <w:rPr>
          <w:rFonts w:ascii="David" w:hAnsi="David" w:cs="David" w:hint="cs"/>
          <w:sz w:val="24"/>
          <w:szCs w:val="24"/>
          <w:rtl/>
        </w:rPr>
        <w:t>'</w:t>
      </w:r>
      <w:r w:rsidR="00C547FC">
        <w:rPr>
          <w:rFonts w:ascii="David" w:hAnsi="David" w:cs="David" w:hint="cs"/>
          <w:sz w:val="24"/>
          <w:szCs w:val="24"/>
          <w:rtl/>
        </w:rPr>
        <w:t xml:space="preserve"> </w:t>
      </w:r>
      <w:r>
        <w:rPr>
          <w:rFonts w:ascii="David" w:hAnsi="David" w:cs="David"/>
          <w:sz w:val="24"/>
          <w:szCs w:val="24"/>
          <w:rtl/>
        </w:rPr>
        <w:t>לא ייצגה אותו ואף לא היה מעורב בתהליך הכנת הצוואה.</w:t>
      </w:r>
    </w:p>
    <w:p w:rsidR="002F765C" w:rsidRDefault="002F765C" w:rsidP="008300DC">
      <w:pPr>
        <w:pStyle w:val="ad"/>
        <w:numPr>
          <w:ilvl w:val="0"/>
          <w:numId w:val="2"/>
        </w:numPr>
        <w:spacing w:line="360" w:lineRule="auto"/>
        <w:jc w:val="both"/>
        <w:rPr>
          <w:rFonts w:ascii="David" w:hAnsi="David" w:cs="David"/>
          <w:sz w:val="24"/>
          <w:szCs w:val="24"/>
        </w:rPr>
      </w:pPr>
      <w:r>
        <w:rPr>
          <w:rFonts w:ascii="David" w:hAnsi="David" w:cs="David"/>
          <w:sz w:val="24"/>
          <w:szCs w:val="24"/>
          <w:rtl/>
        </w:rPr>
        <w:t>מעדות הנתבעת עלה, כי  היא מאשרת שהנתבעים שילמו את התשלום האחרון לדירה, אולם לא ידעה להסביר כיצד שולמו שלושת התשלומים שקדמו להם, המסתכמים בסך של 133,000 ₪. אף הסכימה כי ההחזר הנטען ע"ס 11,000 ₪ אינו תואם את מועד מתן ההלוואה בחודש מרץ 2001. כן אישרה הנתבעת, כי שכר עבודתה שימש לתשלום ההוצאות השוטפות וכי לא עלה בידי הנתבעים לחסוך כסף, לצורך תשלום עבור הדירה. עוד העידה כי אינה זוכרת ששוחחה עם עו"ד ג</w:t>
      </w:r>
      <w:r w:rsidR="008300DC">
        <w:rPr>
          <w:rFonts w:ascii="David" w:hAnsi="David" w:cs="David" w:hint="cs"/>
          <w:sz w:val="24"/>
          <w:szCs w:val="24"/>
          <w:rtl/>
        </w:rPr>
        <w:t>'</w:t>
      </w:r>
      <w:r>
        <w:rPr>
          <w:rFonts w:ascii="David" w:hAnsi="David" w:cs="David"/>
          <w:sz w:val="24"/>
          <w:szCs w:val="24"/>
          <w:rtl/>
        </w:rPr>
        <w:t xml:space="preserve">, טרם החתימה על הצוואות וכי התובעים סייעו לה בהחזר תשלומי המשכנתא, מלבד רכישת הדירה. לטענתה, יכולה הייתה להשיב את ההלוואה מתי שהיא רוצה. </w:t>
      </w:r>
    </w:p>
    <w:p w:rsidR="002F765C" w:rsidRDefault="002F765C" w:rsidP="002F765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בסיכומי התשובה נטען, כי אין לקבל את ניסיון הרחבת החזית של הנתבעים, עת נטען על ידם כי מדובר במתנה ולא בהלוואה. התובעים לא טענו דבר אודות הצוואה המאוחרת שנערכה ע"י הנתבעים והם אינם דורשים דבר מעזבון המנוח, מלבד החזר ההלוואה שניתן מטעמם. הצוואה המוקדמת שהוצגה מוכיחה את תנאי הסכם ההלוואה שסוכמו בין הצדדים. לאור טענותיהם הסתמיות של הנתבעים, יש להורות על קבלת התביעה. </w:t>
      </w:r>
    </w:p>
    <w:p w:rsidR="002F765C" w:rsidRDefault="002F765C" w:rsidP="002F765C">
      <w:pPr>
        <w:spacing w:line="360" w:lineRule="auto"/>
        <w:jc w:val="both"/>
        <w:rPr>
          <w:rFonts w:ascii="David" w:hAnsi="David"/>
          <w:b/>
          <w:bCs/>
          <w:u w:val="single"/>
        </w:rPr>
      </w:pPr>
      <w:r>
        <w:rPr>
          <w:rFonts w:ascii="David" w:hAnsi="David"/>
          <w:b/>
          <w:bCs/>
          <w:u w:val="single"/>
          <w:rtl/>
        </w:rPr>
        <w:t xml:space="preserve">הנתבעים </w:t>
      </w:r>
    </w:p>
    <w:p w:rsidR="002F765C" w:rsidRDefault="002F765C" w:rsidP="002F765C">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בעת שהות הנתבעים בבית התובעים, טיפלה הנתבעת בילדיהם- נכדיה, בישלה להם ושמרה עליהם לרבות בשהיית התובעים בחו"ל. </w:t>
      </w:r>
    </w:p>
    <w:p w:rsidR="002F765C" w:rsidRDefault="002F765C" w:rsidP="00C547FC">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הנתבעים היו משוכנעים, כי הסכום שהולווה להם היה 54,000 ₪ בלבד. כמו כן, ביום </w:t>
      </w:r>
      <w:r w:rsidR="00C547FC">
        <w:rPr>
          <w:rFonts w:ascii="David" w:hAnsi="David" w:cs="David"/>
          <w:sz w:val="24"/>
          <w:szCs w:val="24"/>
        </w:rPr>
        <w:t xml:space="preserve">x/x/2001 </w:t>
      </w:r>
      <w:r>
        <w:rPr>
          <w:rFonts w:ascii="David" w:hAnsi="David" w:cs="David"/>
          <w:sz w:val="24"/>
          <w:szCs w:val="24"/>
          <w:rtl/>
        </w:rPr>
        <w:t xml:space="preserve">החזירה הנתבעת לידי התובע 1 סך של 11,000 ₪ על חשבון ההלוואה שניתנה, כך שסכום העזרה שנתנו התובעים מסתכם בסך של 43,000 ₪. </w:t>
      </w:r>
    </w:p>
    <w:p w:rsidR="002F765C" w:rsidRDefault="002F765C" w:rsidP="002F765C">
      <w:pPr>
        <w:pStyle w:val="ad"/>
        <w:numPr>
          <w:ilvl w:val="0"/>
          <w:numId w:val="3"/>
        </w:numPr>
        <w:spacing w:line="360" w:lineRule="auto"/>
        <w:jc w:val="both"/>
        <w:rPr>
          <w:rFonts w:ascii="David" w:hAnsi="David" w:cs="David"/>
          <w:sz w:val="24"/>
          <w:szCs w:val="24"/>
        </w:rPr>
      </w:pPr>
      <w:r>
        <w:rPr>
          <w:rFonts w:ascii="David" w:hAnsi="David" w:cs="David"/>
          <w:sz w:val="24"/>
          <w:szCs w:val="24"/>
          <w:rtl/>
        </w:rPr>
        <w:t>הנתבעים כופרים בתנאי ההלוואה להם טוענים התובעים, כאשר ביניהם הוסכם שכאשר תימכר הדירה יקבלו לידם את החזר הסכום שניתן בתוספת הצמדה מלאה למדד, בשום מקום לא סוכם כי יקבלו 1/3.</w:t>
      </w:r>
    </w:p>
    <w:p w:rsidR="002F765C" w:rsidRDefault="002F765C" w:rsidP="002F765C">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אשר לצוואה שהוצגה מטעם התובעים, אזי התובע הוא שלקח את הנתבעים לעוה"ד, שילם לה את שכר הטרחה והכתיב לה את הוראות הסעיף הנ"ל. בהיות הנתבעים אנשים מבוגרים שאינם שולטים שליטה מלאה בעברית, לא שמו לב להוראת הסעיף שלא תאם את הנתונים העובדתיים. </w:t>
      </w:r>
    </w:p>
    <w:p w:rsidR="002F765C" w:rsidRDefault="002F765C" w:rsidP="002F765C">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בשנת 2017 נוצר קרע משפחתי, שבעקבותיו נותק הקשר בין התובעים לבין יתר בני המשפחה מצידה של התובעת. הנתבעת מוכנה להשיב את הכסף שלוותה מטעם התובעים (על פי גרסתה) ואותם בלבד. </w:t>
      </w:r>
    </w:p>
    <w:p w:rsidR="002F765C" w:rsidRDefault="002F765C" w:rsidP="002F765C">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בתצהירה הוסיפה הנתבעת, כי פנו לרכוש דירה בסך של 441,026, כאשר בחשבון הבנק היה להם סך של 410,000 ₪ (חסכונות ומכירת דירה קודמת), בסופו של דבר שילמו על הדירה סך של 532,140 ₪, עקב הצמדות ועליית המחירים. התובעים העמידו להם </w:t>
      </w:r>
      <w:r>
        <w:rPr>
          <w:rFonts w:ascii="David" w:hAnsi="David" w:cs="David"/>
          <w:sz w:val="24"/>
          <w:szCs w:val="24"/>
          <w:rtl/>
        </w:rPr>
        <w:lastRenderedPageBreak/>
        <w:t>הלוואה, בסך של 54,000 ₪ ע"י התובע; מעבר לכך יתר התשלומים בוצעו על ידי בעלה המנוח, חלקם אף במזומן.</w:t>
      </w:r>
    </w:p>
    <w:p w:rsidR="002F765C" w:rsidRDefault="002F765C" w:rsidP="00F91D3D">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התובע הוא שלקח אותם לעו"ד </w:t>
      </w:r>
      <w:r w:rsidR="00F91D3D">
        <w:rPr>
          <w:rFonts w:ascii="David" w:hAnsi="David" w:cs="David" w:hint="cs"/>
          <w:sz w:val="24"/>
          <w:szCs w:val="24"/>
          <w:rtl/>
        </w:rPr>
        <w:t>ג'</w:t>
      </w:r>
      <w:r>
        <w:rPr>
          <w:rFonts w:ascii="David" w:hAnsi="David" w:cs="David"/>
          <w:sz w:val="24"/>
          <w:szCs w:val="24"/>
          <w:rtl/>
        </w:rPr>
        <w:t xml:space="preserve">, שם כבר חולקה להם צוואה מוכנה ומודפסת. הנתבעת סמכה על התובע שהוא פועל בהגינות; שהיא אינה כבולה להוראות צוואה זו וביכולתה לצוות על פי רצונה. שינוי הוראות צוואתם נבעה הן בגלל התרמית שהתגלה והן בגלל היחס המחפיר של התובעים כלפיהם. </w:t>
      </w:r>
    </w:p>
    <w:p w:rsidR="002F765C" w:rsidRDefault="002F765C" w:rsidP="00135511">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בסיכומיה טענה, כי מטעם התובעים לא הוצג בדל ראיה אודות הסכומים שניתנו מטעמם לנתבעים ובאיזה מועדים, כאשר מטעמם הועלו סכומים שונים. הנתבעים מכרו את דירתם בנתניה בסך של 603,191 ₪, עליה רבצה משכנתא, כך שנותרו עם סך של 425,891 ₪. הדירה </w:t>
      </w:r>
      <w:r w:rsidR="00135511">
        <w:rPr>
          <w:rFonts w:ascii="David" w:hAnsi="David" w:cs="David"/>
          <w:sz w:val="24"/>
          <w:szCs w:val="24"/>
          <w:rtl/>
        </w:rPr>
        <w:t>ב</w:t>
      </w:r>
      <w:r w:rsidR="00135511">
        <w:rPr>
          <w:rFonts w:ascii="David" w:hAnsi="David" w:cs="David" w:hint="cs"/>
          <w:sz w:val="24"/>
          <w:szCs w:val="24"/>
          <w:rtl/>
        </w:rPr>
        <w:t>-</w:t>
      </w:r>
      <w:r w:rsidR="00135511">
        <w:rPr>
          <w:rFonts w:ascii="David" w:hAnsi="David" w:cs="David"/>
          <w:sz w:val="24"/>
          <w:szCs w:val="24"/>
        </w:rPr>
        <w:t>xxx</w:t>
      </w:r>
      <w:r w:rsidR="00135511">
        <w:rPr>
          <w:rFonts w:ascii="David" w:hAnsi="David" w:cs="David" w:hint="cs"/>
          <w:sz w:val="24"/>
          <w:szCs w:val="24"/>
          <w:rtl/>
        </w:rPr>
        <w:t xml:space="preserve"> </w:t>
      </w:r>
      <w:r>
        <w:rPr>
          <w:rFonts w:ascii="David" w:hAnsi="David" w:cs="David"/>
          <w:sz w:val="24"/>
          <w:szCs w:val="24"/>
          <w:rtl/>
        </w:rPr>
        <w:t xml:space="preserve">נרכשה בסך של 516,000 ₪, כך שנדרשו להוסיף סך של כ-120,000 ₪ כולל הוצאות שכ"ט ועו"ד. </w:t>
      </w:r>
    </w:p>
    <w:p w:rsidR="002F765C" w:rsidRDefault="002F765C" w:rsidP="002F765C">
      <w:pPr>
        <w:pStyle w:val="ad"/>
        <w:numPr>
          <w:ilvl w:val="0"/>
          <w:numId w:val="3"/>
        </w:numPr>
        <w:spacing w:line="360" w:lineRule="auto"/>
        <w:jc w:val="both"/>
        <w:rPr>
          <w:rFonts w:ascii="David" w:hAnsi="David" w:cs="David"/>
          <w:sz w:val="24"/>
          <w:szCs w:val="24"/>
        </w:rPr>
      </w:pPr>
      <w:r>
        <w:rPr>
          <w:rFonts w:ascii="David" w:hAnsi="David" w:cs="David"/>
          <w:sz w:val="24"/>
          <w:szCs w:val="24"/>
          <w:rtl/>
        </w:rPr>
        <w:t>לטענת הנתבעת היא קיבלה  מהתובעים סך של 43,000 ₪ בלבד, אולם לא כהלוואה. הוראות הצוואה שנערכה ע"י הנתבעים אינם מגלים כי מדובר בהלוואה, כי אם ברצונם הטוב של הנתבעים ולא מתוך התחשבנות כספית, שלאור התנהגותם המחפירה של התובעים כלפיהם, חזרו בהם וזכותם הייתה לעשות כן. התנהגות התובעים ובפרט התובע,  המציג את עצמו כאיש עסקים, אינה עולה בקנה אחד מן המצופה ממנו, להראות את שוברי התשלום/העברות שביצע לטובת עסקת הרכישה של הנתבעים.</w:t>
      </w:r>
    </w:p>
    <w:p w:rsidR="002F765C" w:rsidRDefault="002F765C" w:rsidP="004E1938">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שובר התשלום שעליו צוין בכתב יד "שולם ע"י התובע", נכתב בטעות על שובר מיום </w:t>
      </w:r>
      <w:r w:rsidR="004E1938">
        <w:rPr>
          <w:rFonts w:ascii="David" w:hAnsi="David" w:cs="David"/>
          <w:sz w:val="24"/>
          <w:szCs w:val="24"/>
        </w:rPr>
        <w:t>x.x.2001</w:t>
      </w:r>
      <w:r>
        <w:rPr>
          <w:rFonts w:ascii="David" w:hAnsi="David" w:cs="David"/>
          <w:sz w:val="24"/>
          <w:szCs w:val="24"/>
          <w:rtl/>
        </w:rPr>
        <w:t xml:space="preserve"> בשעה שהשובר ששולם על ידו נעשה ביום </w:t>
      </w:r>
      <w:r w:rsidR="004E1938">
        <w:rPr>
          <w:rFonts w:ascii="David" w:hAnsi="David" w:cs="David"/>
          <w:sz w:val="24"/>
          <w:szCs w:val="24"/>
        </w:rPr>
        <w:t>x.x.2001</w:t>
      </w:r>
      <w:r>
        <w:rPr>
          <w:rFonts w:ascii="David" w:hAnsi="David" w:cs="David"/>
          <w:sz w:val="24"/>
          <w:szCs w:val="24"/>
          <w:rtl/>
        </w:rPr>
        <w:t xml:space="preserve">, במועד בו שולם לידו בשיק סך של 11,000 ₪ מחשבון הנתבעים. התובעים לא הוכיחו מה הסכום שניתן לנתבעים וכי היה מדובר בהלוואה, הנתבעים הודו כי ניתן סך של 43,000 ₪ שאותו הם מוכנים להחזיר. </w:t>
      </w:r>
    </w:p>
    <w:p w:rsidR="002F765C" w:rsidRDefault="002F765C" w:rsidP="002F765C">
      <w:pPr>
        <w:pStyle w:val="ad"/>
        <w:rPr>
          <w:rFonts w:ascii="David" w:hAnsi="David" w:cs="David"/>
          <w:sz w:val="24"/>
          <w:szCs w:val="24"/>
        </w:rPr>
      </w:pPr>
    </w:p>
    <w:p w:rsidR="002F765C" w:rsidRDefault="002F765C" w:rsidP="002F765C">
      <w:pPr>
        <w:spacing w:line="360" w:lineRule="auto"/>
        <w:jc w:val="both"/>
        <w:rPr>
          <w:rFonts w:ascii="David" w:hAnsi="David"/>
          <w:b/>
          <w:bCs/>
          <w:u w:val="single"/>
          <w:rtl/>
        </w:rPr>
      </w:pPr>
      <w:r>
        <w:rPr>
          <w:rFonts w:ascii="David" w:hAnsi="David"/>
          <w:b/>
          <w:bCs/>
          <w:u w:val="single"/>
          <w:rtl/>
        </w:rPr>
        <w:t xml:space="preserve">דיון והכרעה </w:t>
      </w:r>
    </w:p>
    <w:p w:rsidR="0013163F" w:rsidRPr="0013163F" w:rsidRDefault="0013163F" w:rsidP="0013163F">
      <w:pPr>
        <w:pStyle w:val="ad"/>
        <w:spacing w:line="360" w:lineRule="auto"/>
        <w:jc w:val="both"/>
        <w:rPr>
          <w:rFonts w:ascii="David" w:hAnsi="David" w:cs="David"/>
          <w:b/>
          <w:bCs/>
          <w:sz w:val="24"/>
          <w:szCs w:val="24"/>
          <w:u w:val="single"/>
        </w:rPr>
      </w:pPr>
    </w:p>
    <w:p w:rsidR="002F765C" w:rsidRDefault="002F765C" w:rsidP="002F765C">
      <w:pPr>
        <w:pStyle w:val="ad"/>
        <w:numPr>
          <w:ilvl w:val="0"/>
          <w:numId w:val="1"/>
        </w:numPr>
        <w:spacing w:line="360" w:lineRule="auto"/>
        <w:jc w:val="both"/>
        <w:rPr>
          <w:rFonts w:ascii="David" w:hAnsi="David" w:cs="David"/>
          <w:b/>
          <w:bCs/>
          <w:sz w:val="24"/>
          <w:szCs w:val="24"/>
          <w:u w:val="single"/>
          <w:rtl/>
        </w:rPr>
      </w:pPr>
      <w:r>
        <w:rPr>
          <w:rFonts w:ascii="David" w:hAnsi="David" w:cs="David"/>
          <w:sz w:val="24"/>
          <w:szCs w:val="24"/>
          <w:rtl/>
        </w:rPr>
        <w:t>הצדדים הגיעו להסכמות בנוגע למספר עובדות כמו גם לפלוגתא שבלב ההליך, כאמור ברישא להכרעה, זאת כדלהלן:</w:t>
      </w:r>
    </w:p>
    <w:p w:rsidR="002F765C" w:rsidRDefault="002F765C" w:rsidP="002F765C">
      <w:pPr>
        <w:pStyle w:val="ad"/>
        <w:numPr>
          <w:ilvl w:val="0"/>
          <w:numId w:val="4"/>
        </w:numPr>
        <w:spacing w:line="360" w:lineRule="auto"/>
        <w:jc w:val="both"/>
        <w:rPr>
          <w:rFonts w:ascii="David" w:hAnsi="David" w:cs="David"/>
          <w:sz w:val="24"/>
          <w:szCs w:val="24"/>
        </w:rPr>
      </w:pPr>
      <w:r>
        <w:rPr>
          <w:rFonts w:ascii="David" w:hAnsi="David" w:cs="David"/>
          <w:b/>
          <w:bCs/>
          <w:sz w:val="24"/>
          <w:szCs w:val="24"/>
          <w:rtl/>
        </w:rPr>
        <w:t>התובעים נתנו לנתבעים הלוואה כספית</w:t>
      </w:r>
      <w:r>
        <w:rPr>
          <w:rFonts w:ascii="David" w:hAnsi="David" w:cs="David"/>
          <w:sz w:val="24"/>
          <w:szCs w:val="24"/>
          <w:rtl/>
        </w:rPr>
        <w:t>.</w:t>
      </w:r>
    </w:p>
    <w:p w:rsidR="002F765C" w:rsidRDefault="002F765C" w:rsidP="002F765C">
      <w:pPr>
        <w:pStyle w:val="ad"/>
        <w:numPr>
          <w:ilvl w:val="0"/>
          <w:numId w:val="4"/>
        </w:numPr>
        <w:spacing w:line="360" w:lineRule="auto"/>
        <w:jc w:val="both"/>
        <w:rPr>
          <w:rFonts w:ascii="David" w:hAnsi="David" w:cs="David"/>
          <w:sz w:val="24"/>
          <w:szCs w:val="24"/>
          <w:rtl/>
        </w:rPr>
      </w:pPr>
      <w:r>
        <w:rPr>
          <w:rFonts w:ascii="David" w:hAnsi="David" w:cs="David"/>
          <w:b/>
          <w:bCs/>
          <w:sz w:val="24"/>
          <w:szCs w:val="24"/>
          <w:rtl/>
        </w:rPr>
        <w:t xml:space="preserve">מטרת ההלוואה </w:t>
      </w:r>
      <w:r>
        <w:rPr>
          <w:rFonts w:ascii="David" w:hAnsi="David" w:cs="David"/>
          <w:sz w:val="24"/>
          <w:szCs w:val="24"/>
          <w:rtl/>
        </w:rPr>
        <w:t>–רכישת דירת מגורים על ידי הנתבעים ובעבורם.</w:t>
      </w:r>
    </w:p>
    <w:p w:rsidR="002F765C" w:rsidRDefault="002F765C" w:rsidP="002F765C">
      <w:pPr>
        <w:pStyle w:val="ad"/>
        <w:numPr>
          <w:ilvl w:val="0"/>
          <w:numId w:val="4"/>
        </w:numPr>
        <w:spacing w:line="360" w:lineRule="auto"/>
        <w:jc w:val="both"/>
        <w:rPr>
          <w:rFonts w:ascii="David" w:hAnsi="David" w:cs="David"/>
          <w:sz w:val="24"/>
          <w:szCs w:val="24"/>
        </w:rPr>
      </w:pPr>
      <w:r>
        <w:rPr>
          <w:rFonts w:ascii="David" w:hAnsi="David" w:cs="David"/>
          <w:b/>
          <w:bCs/>
          <w:sz w:val="24"/>
          <w:szCs w:val="24"/>
          <w:rtl/>
        </w:rPr>
        <w:t>מחיר ומועד רכישת דירת המגורים ע"י הנתבעים</w:t>
      </w:r>
      <w:r>
        <w:rPr>
          <w:rFonts w:ascii="David" w:hAnsi="David" w:cs="David"/>
          <w:sz w:val="24"/>
          <w:szCs w:val="24"/>
          <w:rtl/>
        </w:rPr>
        <w:t xml:space="preserve"> - מחיר רכישת הדירה על ידי הנתבעים עמד על סכום של 516,000 ₪; במועד הגשת ההליך הוערך שווי הדירה בסך 1,500,000 ₪. </w:t>
      </w:r>
    </w:p>
    <w:p w:rsidR="002F765C" w:rsidRDefault="002F765C" w:rsidP="002F765C">
      <w:pPr>
        <w:pStyle w:val="ad"/>
        <w:numPr>
          <w:ilvl w:val="0"/>
          <w:numId w:val="4"/>
        </w:numPr>
        <w:spacing w:line="360" w:lineRule="auto"/>
        <w:jc w:val="both"/>
        <w:rPr>
          <w:rFonts w:ascii="David" w:hAnsi="David" w:cs="David"/>
          <w:sz w:val="24"/>
          <w:szCs w:val="24"/>
        </w:rPr>
      </w:pPr>
      <w:r>
        <w:rPr>
          <w:rFonts w:ascii="David" w:hAnsi="David" w:cs="David"/>
          <w:b/>
          <w:bCs/>
          <w:sz w:val="24"/>
          <w:szCs w:val="24"/>
          <w:rtl/>
        </w:rPr>
        <w:t xml:space="preserve">הפלוגתא בתיק </w:t>
      </w:r>
      <w:r>
        <w:rPr>
          <w:rFonts w:ascii="David" w:hAnsi="David" w:cs="David"/>
          <w:sz w:val="24"/>
          <w:szCs w:val="24"/>
          <w:rtl/>
        </w:rPr>
        <w:t xml:space="preserve">– </w:t>
      </w:r>
      <w:r>
        <w:rPr>
          <w:rFonts w:ascii="David" w:hAnsi="David" w:cs="David"/>
          <w:sz w:val="24"/>
          <w:szCs w:val="24"/>
          <w:u w:val="single"/>
          <w:rtl/>
        </w:rPr>
        <w:t>עניינה בשניים</w:t>
      </w:r>
      <w:r>
        <w:rPr>
          <w:rFonts w:ascii="David" w:hAnsi="David" w:cs="David"/>
          <w:sz w:val="24"/>
          <w:szCs w:val="24"/>
          <w:rtl/>
        </w:rPr>
        <w:t xml:space="preserve">: </w:t>
      </w:r>
      <w:r>
        <w:rPr>
          <w:rFonts w:ascii="David" w:hAnsi="David" w:cs="David"/>
          <w:b/>
          <w:bCs/>
          <w:sz w:val="24"/>
          <w:szCs w:val="24"/>
          <w:rtl/>
        </w:rPr>
        <w:t>1)</w:t>
      </w:r>
      <w:r>
        <w:rPr>
          <w:rFonts w:ascii="David" w:hAnsi="David" w:cs="David"/>
          <w:sz w:val="24"/>
          <w:szCs w:val="24"/>
          <w:rtl/>
        </w:rPr>
        <w:t xml:space="preserve"> גובה ההלוואה שניתנה;</w:t>
      </w:r>
    </w:p>
    <w:p w:rsidR="002F765C" w:rsidRDefault="002F765C" w:rsidP="002F765C">
      <w:pPr>
        <w:pStyle w:val="ad"/>
        <w:spacing w:line="360" w:lineRule="auto"/>
        <w:ind w:left="3960"/>
        <w:jc w:val="both"/>
        <w:rPr>
          <w:rFonts w:ascii="David" w:hAnsi="David" w:cs="David"/>
          <w:sz w:val="24"/>
          <w:szCs w:val="24"/>
        </w:rPr>
      </w:pPr>
      <w:r>
        <w:rPr>
          <w:rFonts w:ascii="David" w:hAnsi="David" w:cs="David"/>
          <w:b/>
          <w:bCs/>
          <w:sz w:val="24"/>
          <w:szCs w:val="24"/>
          <w:rtl/>
        </w:rPr>
        <w:t xml:space="preserve">2) </w:t>
      </w:r>
      <w:r>
        <w:rPr>
          <w:rFonts w:ascii="David" w:hAnsi="David" w:cs="David"/>
          <w:sz w:val="24"/>
          <w:szCs w:val="24"/>
          <w:rtl/>
        </w:rPr>
        <w:t xml:space="preserve">סכום ההחזר שהוסכם בין הצדדים. </w:t>
      </w:r>
    </w:p>
    <w:p w:rsidR="002F765C" w:rsidRDefault="002F765C" w:rsidP="002F765C">
      <w:pPr>
        <w:pStyle w:val="ad"/>
        <w:numPr>
          <w:ilvl w:val="0"/>
          <w:numId w:val="1"/>
        </w:numPr>
        <w:spacing w:line="360" w:lineRule="auto"/>
        <w:jc w:val="both"/>
        <w:rPr>
          <w:rFonts w:ascii="Arial" w:hAnsi="Arial" w:cs="David"/>
          <w:b/>
          <w:bCs/>
          <w:sz w:val="24"/>
          <w:szCs w:val="24"/>
        </w:rPr>
      </w:pPr>
      <w:r>
        <w:rPr>
          <w:rFonts w:ascii="Arial" w:hAnsi="Arial" w:cs="David"/>
          <w:sz w:val="24"/>
          <w:szCs w:val="24"/>
          <w:u w:val="single"/>
          <w:rtl/>
        </w:rPr>
        <w:lastRenderedPageBreak/>
        <w:t>הגם שכך</w:t>
      </w:r>
      <w:r>
        <w:rPr>
          <w:rFonts w:ascii="Arial" w:hAnsi="Arial" w:cs="David"/>
          <w:sz w:val="24"/>
          <w:szCs w:val="24"/>
          <w:rtl/>
        </w:rPr>
        <w:t xml:space="preserve"> וחרף העובדות המוסכמות לעיל (כאמור בפרוט' הדיון מיום 31.10.2022) העלו הנתבעים </w:t>
      </w:r>
      <w:r>
        <w:rPr>
          <w:rFonts w:ascii="Arial" w:hAnsi="Arial" w:cs="David"/>
          <w:sz w:val="24"/>
          <w:szCs w:val="24"/>
          <w:u w:val="single"/>
          <w:rtl/>
        </w:rPr>
        <w:t>טענה משמעותית, שונה בתכלית</w:t>
      </w:r>
      <w:r>
        <w:rPr>
          <w:rFonts w:ascii="Arial" w:hAnsi="Arial" w:cs="David"/>
          <w:sz w:val="24"/>
          <w:szCs w:val="24"/>
          <w:rtl/>
        </w:rPr>
        <w:t xml:space="preserve">, שזכרה בא </w:t>
      </w:r>
      <w:r>
        <w:rPr>
          <w:rFonts w:ascii="Arial" w:hAnsi="Arial" w:cs="David"/>
          <w:sz w:val="24"/>
          <w:szCs w:val="24"/>
          <w:u w:val="single"/>
          <w:rtl/>
        </w:rPr>
        <w:t>לראשונה</w:t>
      </w:r>
      <w:r>
        <w:rPr>
          <w:rFonts w:ascii="Arial" w:hAnsi="Arial" w:cs="David"/>
          <w:sz w:val="24"/>
          <w:szCs w:val="24"/>
          <w:rtl/>
        </w:rPr>
        <w:t xml:space="preserve"> בסיכומיהם, לפיה הסכום שניתן על ידי התובעים לנתבעים </w:t>
      </w:r>
      <w:r>
        <w:rPr>
          <w:rFonts w:ascii="Arial" w:hAnsi="Arial" w:cs="David"/>
          <w:sz w:val="24"/>
          <w:szCs w:val="24"/>
          <w:u w:val="single"/>
          <w:rtl/>
        </w:rPr>
        <w:t>לא היה הלוואה, אלא עזרה סיוע או מתנה</w:t>
      </w:r>
      <w:r>
        <w:rPr>
          <w:rFonts w:ascii="Arial" w:hAnsi="Arial" w:cs="David"/>
          <w:sz w:val="24"/>
          <w:szCs w:val="24"/>
          <w:rtl/>
        </w:rPr>
        <w:t xml:space="preserve"> (ס' 21ד' לסיכומים); כאשר </w:t>
      </w:r>
      <w:r>
        <w:rPr>
          <w:rFonts w:ascii="Arial" w:hAnsi="Arial" w:cs="David"/>
          <w:sz w:val="24"/>
          <w:szCs w:val="24"/>
          <w:u w:val="single"/>
          <w:rtl/>
        </w:rPr>
        <w:t>לצד אמירה זאת הוסיפה הנתבעת בסיכומיה, כי היא נכונה להחזיר לתובעים את יתרת הסכום שלטענתה נותר להחזר</w:t>
      </w:r>
      <w:r>
        <w:rPr>
          <w:rFonts w:ascii="Arial" w:hAnsi="Arial" w:cs="David"/>
          <w:sz w:val="24"/>
          <w:szCs w:val="24"/>
          <w:rtl/>
        </w:rPr>
        <w:t xml:space="preserve"> (43,000 ₪; ר' בס' 6 לסיכומים). </w:t>
      </w:r>
    </w:p>
    <w:p w:rsidR="002F765C" w:rsidRDefault="002F765C" w:rsidP="002F765C">
      <w:pPr>
        <w:pStyle w:val="ad"/>
        <w:spacing w:line="360" w:lineRule="auto"/>
        <w:jc w:val="both"/>
        <w:rPr>
          <w:rFonts w:ascii="Arial" w:hAnsi="Arial" w:cs="David"/>
          <w:b/>
          <w:bCs/>
          <w:sz w:val="24"/>
          <w:szCs w:val="24"/>
        </w:rPr>
      </w:pPr>
    </w:p>
    <w:p w:rsidR="002F765C" w:rsidRDefault="002F765C" w:rsidP="002F765C">
      <w:pPr>
        <w:pStyle w:val="ad"/>
        <w:numPr>
          <w:ilvl w:val="0"/>
          <w:numId w:val="1"/>
        </w:numPr>
        <w:spacing w:line="360" w:lineRule="auto"/>
        <w:jc w:val="both"/>
        <w:rPr>
          <w:rFonts w:ascii="Arial" w:hAnsi="Arial" w:cs="David"/>
          <w:b/>
          <w:bCs/>
          <w:sz w:val="24"/>
          <w:szCs w:val="24"/>
        </w:rPr>
      </w:pPr>
      <w:r>
        <w:rPr>
          <w:rFonts w:ascii="Arial" w:hAnsi="Arial" w:cs="David"/>
          <w:sz w:val="24"/>
          <w:szCs w:val="24"/>
          <w:rtl/>
        </w:rPr>
        <w:t xml:space="preserve">מעבר לעובדה, כי טענה זו בדבר אופן סיווג העברת הכספים עומדת </w:t>
      </w:r>
      <w:r>
        <w:rPr>
          <w:rFonts w:ascii="Arial" w:hAnsi="Arial" w:cs="David"/>
          <w:b/>
          <w:bCs/>
          <w:sz w:val="24"/>
          <w:szCs w:val="24"/>
          <w:u w:val="single"/>
          <w:rtl/>
        </w:rPr>
        <w:t>בסתירה מהותית</w:t>
      </w:r>
      <w:r>
        <w:rPr>
          <w:rFonts w:ascii="Arial" w:hAnsi="Arial" w:cs="David"/>
          <w:sz w:val="24"/>
          <w:szCs w:val="24"/>
          <w:rtl/>
        </w:rPr>
        <w:t xml:space="preserve"> </w:t>
      </w:r>
      <w:r>
        <w:rPr>
          <w:rFonts w:ascii="Arial" w:hAnsi="Arial" w:cs="David"/>
          <w:b/>
          <w:bCs/>
          <w:sz w:val="24"/>
          <w:szCs w:val="24"/>
          <w:u w:val="single"/>
          <w:rtl/>
        </w:rPr>
        <w:t>לעובדות המוסכמות</w:t>
      </w:r>
      <w:r>
        <w:rPr>
          <w:rFonts w:ascii="Arial" w:hAnsi="Arial" w:cs="David"/>
          <w:sz w:val="24"/>
          <w:szCs w:val="24"/>
          <w:rtl/>
        </w:rPr>
        <w:t xml:space="preserve"> המוצהרות כאמור על ידי הצדדים (לעיל) </w:t>
      </w:r>
      <w:r>
        <w:rPr>
          <w:rFonts w:ascii="Arial" w:hAnsi="Arial" w:cs="David"/>
          <w:b/>
          <w:bCs/>
          <w:sz w:val="24"/>
          <w:szCs w:val="24"/>
          <w:u w:val="single"/>
          <w:rtl/>
        </w:rPr>
        <w:t>היא אף עומדת בסתירה מהותית לטענות קודמות</w:t>
      </w:r>
      <w:r>
        <w:rPr>
          <w:rFonts w:ascii="Arial" w:hAnsi="Arial" w:cs="David"/>
          <w:sz w:val="24"/>
          <w:szCs w:val="24"/>
          <w:rtl/>
        </w:rPr>
        <w:t xml:space="preserve"> שהועלו בכתבי הטענות מצד הנתבעים, כמו גם במסמכים שצורפו להליך התומכים רובם ככולם בעובדה שלכאורה לא הייתה במחלוקת עד למועד הגשת הסיכומים - כי בהלוואה עסקינן; עוד יצוין, כי בסיכומים הועלו בזיקה לטענת הכפירה לכאורה בהיות העברת הכספים הלוואה, טענות אחרות נוספות.</w:t>
      </w:r>
    </w:p>
    <w:p w:rsidR="002F765C" w:rsidRDefault="002F765C" w:rsidP="002F765C">
      <w:pPr>
        <w:pStyle w:val="ad"/>
        <w:rPr>
          <w:rFonts w:ascii="Arial" w:hAnsi="Arial" w:cs="David"/>
          <w:b/>
          <w:bCs/>
          <w:sz w:val="24"/>
          <w:szCs w:val="24"/>
        </w:rPr>
      </w:pPr>
    </w:p>
    <w:p w:rsidR="002F765C" w:rsidRDefault="002F765C" w:rsidP="002F765C">
      <w:pPr>
        <w:pStyle w:val="ad"/>
        <w:numPr>
          <w:ilvl w:val="0"/>
          <w:numId w:val="1"/>
        </w:numPr>
        <w:spacing w:line="360" w:lineRule="auto"/>
        <w:jc w:val="both"/>
        <w:rPr>
          <w:rFonts w:ascii="Arial" w:hAnsi="Arial" w:cs="David"/>
          <w:b/>
          <w:bCs/>
          <w:sz w:val="24"/>
          <w:szCs w:val="24"/>
          <w:rtl/>
        </w:rPr>
      </w:pPr>
      <w:r>
        <w:rPr>
          <w:rFonts w:ascii="Arial" w:hAnsi="Arial" w:cs="David"/>
          <w:sz w:val="24"/>
          <w:szCs w:val="24"/>
          <w:rtl/>
        </w:rPr>
        <w:t xml:space="preserve">כל זאת כאשר, </w:t>
      </w:r>
      <w:r>
        <w:rPr>
          <w:rFonts w:ascii="Arial" w:hAnsi="Arial" w:cs="David"/>
          <w:b/>
          <w:bCs/>
          <w:sz w:val="24"/>
          <w:szCs w:val="24"/>
          <w:rtl/>
        </w:rPr>
        <w:t xml:space="preserve">אין חולק, </w:t>
      </w:r>
      <w:r>
        <w:rPr>
          <w:rFonts w:ascii="Arial" w:hAnsi="Arial" w:cs="David"/>
          <w:sz w:val="24"/>
          <w:szCs w:val="24"/>
          <w:rtl/>
        </w:rPr>
        <w:t xml:space="preserve">כי ברקע ההליך דנא עמד אף </w:t>
      </w:r>
      <w:r>
        <w:rPr>
          <w:rFonts w:ascii="Arial" w:hAnsi="Arial" w:cs="David"/>
          <w:b/>
          <w:bCs/>
          <w:sz w:val="24"/>
          <w:szCs w:val="24"/>
          <w:u w:val="single"/>
          <w:rtl/>
        </w:rPr>
        <w:t>מכתב שבחרה הנתבעת לשלוח ביוזמתה</w:t>
      </w:r>
      <w:r>
        <w:rPr>
          <w:rFonts w:ascii="Arial" w:hAnsi="Arial" w:cs="David"/>
          <w:sz w:val="24"/>
          <w:szCs w:val="24"/>
          <w:rtl/>
        </w:rPr>
        <w:t xml:space="preserve">, באמצעות ב"כ לתובעים ביום 7.1.2019 בו </w:t>
      </w:r>
      <w:r>
        <w:rPr>
          <w:rFonts w:ascii="Arial" w:hAnsi="Arial" w:cs="David"/>
          <w:b/>
          <w:bCs/>
          <w:sz w:val="24"/>
          <w:szCs w:val="24"/>
          <w:u w:val="single"/>
          <w:rtl/>
        </w:rPr>
        <w:t>היא</w:t>
      </w:r>
      <w:r>
        <w:rPr>
          <w:rFonts w:ascii="Arial" w:hAnsi="Arial" w:cs="David"/>
          <w:sz w:val="24"/>
          <w:szCs w:val="24"/>
          <w:rtl/>
        </w:rPr>
        <w:t xml:space="preserve"> </w:t>
      </w:r>
      <w:r>
        <w:rPr>
          <w:rFonts w:ascii="Arial" w:hAnsi="Arial" w:cs="David"/>
          <w:b/>
          <w:bCs/>
          <w:sz w:val="24"/>
          <w:szCs w:val="24"/>
          <w:u w:val="single"/>
          <w:rtl/>
        </w:rPr>
        <w:t>מבקשת להשיב את הלוואה</w:t>
      </w:r>
      <w:r>
        <w:rPr>
          <w:rFonts w:ascii="Arial" w:hAnsi="Arial" w:cs="David"/>
          <w:sz w:val="24"/>
          <w:szCs w:val="24"/>
          <w:rtl/>
        </w:rPr>
        <w:t xml:space="preserve"> שניתנה על ידם (ר' נספח ג' לכתב התביעה), שם נכתב בין היתר כך:</w:t>
      </w:r>
    </w:p>
    <w:p w:rsidR="002F765C" w:rsidRDefault="002F765C" w:rsidP="002F765C">
      <w:pPr>
        <w:pStyle w:val="ad"/>
        <w:rPr>
          <w:rFonts w:ascii="Arial" w:hAnsi="Arial" w:cs="David"/>
          <w:b/>
          <w:bCs/>
          <w:sz w:val="24"/>
          <w:szCs w:val="24"/>
        </w:rPr>
      </w:pPr>
    </w:p>
    <w:p w:rsidR="002F765C" w:rsidRDefault="002F765C" w:rsidP="002F765C">
      <w:pPr>
        <w:pStyle w:val="ad"/>
        <w:spacing w:line="360" w:lineRule="auto"/>
        <w:jc w:val="both"/>
        <w:rPr>
          <w:rFonts w:ascii="Arial" w:hAnsi="Arial" w:cs="David"/>
          <w:b/>
          <w:bCs/>
          <w:sz w:val="24"/>
          <w:szCs w:val="24"/>
          <w:rtl/>
        </w:rPr>
      </w:pPr>
      <w:r>
        <w:rPr>
          <w:noProof/>
        </w:rPr>
        <w:drawing>
          <wp:inline distT="0" distB="0" distL="0" distR="0">
            <wp:extent cx="4601210" cy="1030605"/>
            <wp:effectExtent l="0" t="0" r="889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1210" cy="1030605"/>
                    </a:xfrm>
                    <a:prstGeom prst="rect">
                      <a:avLst/>
                    </a:prstGeom>
                    <a:noFill/>
                    <a:ln>
                      <a:noFill/>
                    </a:ln>
                  </pic:spPr>
                </pic:pic>
              </a:graphicData>
            </a:graphic>
          </wp:inline>
        </w:drawing>
      </w:r>
    </w:p>
    <w:p w:rsidR="002F765C" w:rsidRDefault="002F765C" w:rsidP="002F765C">
      <w:pPr>
        <w:pStyle w:val="ad"/>
        <w:rPr>
          <w:rFonts w:ascii="Arial" w:hAnsi="Arial" w:cs="David"/>
          <w:b/>
          <w:bCs/>
          <w:sz w:val="24"/>
          <w:szCs w:val="24"/>
        </w:rPr>
      </w:pPr>
    </w:p>
    <w:p w:rsidR="002F765C" w:rsidRDefault="002F765C" w:rsidP="002F765C">
      <w:pPr>
        <w:pStyle w:val="ad"/>
        <w:rPr>
          <w:rFonts w:ascii="Arial" w:hAnsi="Arial" w:cs="David"/>
          <w:b/>
          <w:bCs/>
          <w:sz w:val="24"/>
          <w:szCs w:val="24"/>
          <w:rtl/>
        </w:rPr>
      </w:pPr>
    </w:p>
    <w:p w:rsidR="002F765C" w:rsidRDefault="002F765C" w:rsidP="002F765C">
      <w:pPr>
        <w:pStyle w:val="ad"/>
        <w:numPr>
          <w:ilvl w:val="0"/>
          <w:numId w:val="1"/>
        </w:numPr>
        <w:spacing w:line="360" w:lineRule="auto"/>
        <w:jc w:val="both"/>
        <w:rPr>
          <w:rFonts w:ascii="Arial" w:hAnsi="Arial" w:cs="David"/>
          <w:b/>
          <w:bCs/>
          <w:sz w:val="24"/>
          <w:szCs w:val="24"/>
          <w:rtl/>
        </w:rPr>
      </w:pPr>
      <w:r>
        <w:rPr>
          <w:rFonts w:ascii="Arial" w:hAnsi="Arial" w:cs="David"/>
          <w:b/>
          <w:bCs/>
          <w:sz w:val="24"/>
          <w:szCs w:val="24"/>
          <w:u w:val="single"/>
          <w:rtl/>
        </w:rPr>
        <w:t>הצהרת הנתבעת בדבר היות העברת הכספים בבחינת הלוואה הוצהרה על ידה מפורשות אף בתצהירה</w:t>
      </w:r>
      <w:r>
        <w:rPr>
          <w:rFonts w:ascii="Arial" w:hAnsi="Arial" w:cs="David"/>
          <w:sz w:val="24"/>
          <w:szCs w:val="24"/>
          <w:rtl/>
        </w:rPr>
        <w:t>, כמפורט להלן:</w:t>
      </w:r>
    </w:p>
    <w:p w:rsidR="002F765C" w:rsidRDefault="00C5339F" w:rsidP="002F765C">
      <w:pPr>
        <w:pStyle w:val="ad"/>
        <w:spacing w:line="360" w:lineRule="auto"/>
        <w:jc w:val="both"/>
        <w:rPr>
          <w:rFonts w:ascii="Arial" w:hAnsi="Arial" w:cs="David"/>
          <w:b/>
          <w:bCs/>
          <w:sz w:val="24"/>
          <w:szCs w:val="24"/>
        </w:rPr>
      </w:pPr>
      <w:r w:rsidRPr="00C5339F">
        <w:rPr>
          <w:rFonts w:ascii="Arial" w:hAnsi="Arial" w:cs="David"/>
          <w:b/>
          <w:bCs/>
          <w:noProof/>
          <w:sz w:val="24"/>
          <w:szCs w:val="24"/>
          <w:rtl/>
        </w:rPr>
        <w:drawing>
          <wp:inline distT="0" distB="0" distL="0" distR="0" wp14:anchorId="31C6D175" wp14:editId="17E601CC">
            <wp:extent cx="5174299" cy="914400"/>
            <wp:effectExtent l="0" t="0" r="7620" b="0"/>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84571" cy="916215"/>
                    </a:xfrm>
                    <a:prstGeom prst="rect">
                      <a:avLst/>
                    </a:prstGeom>
                  </pic:spPr>
                </pic:pic>
              </a:graphicData>
            </a:graphic>
          </wp:inline>
        </w:drawing>
      </w:r>
    </w:p>
    <w:p w:rsidR="002F765C" w:rsidRDefault="002F765C" w:rsidP="002F765C">
      <w:pPr>
        <w:pStyle w:val="ad"/>
        <w:rPr>
          <w:rFonts w:ascii="Arial" w:hAnsi="Arial" w:cs="David"/>
          <w:sz w:val="24"/>
          <w:szCs w:val="24"/>
          <w:rtl/>
        </w:rPr>
      </w:pPr>
    </w:p>
    <w:p w:rsidR="00274FA7" w:rsidRDefault="00274FA7" w:rsidP="002F765C">
      <w:pPr>
        <w:pStyle w:val="ad"/>
        <w:rPr>
          <w:rFonts w:ascii="Arial" w:hAnsi="Arial" w:cs="David"/>
          <w:sz w:val="24"/>
          <w:szCs w:val="24"/>
          <w:rtl/>
        </w:rPr>
      </w:pPr>
    </w:p>
    <w:p w:rsidR="00274FA7" w:rsidRDefault="00274FA7" w:rsidP="002F765C">
      <w:pPr>
        <w:pStyle w:val="ad"/>
        <w:rPr>
          <w:rFonts w:ascii="Arial" w:hAnsi="Arial" w:cs="David"/>
          <w:sz w:val="24"/>
          <w:szCs w:val="24"/>
        </w:rPr>
      </w:pPr>
    </w:p>
    <w:p w:rsidR="002F765C" w:rsidRDefault="002F765C" w:rsidP="002F765C">
      <w:pPr>
        <w:pStyle w:val="ad"/>
        <w:numPr>
          <w:ilvl w:val="0"/>
          <w:numId w:val="1"/>
        </w:numPr>
        <w:spacing w:line="360" w:lineRule="auto"/>
        <w:jc w:val="both"/>
        <w:rPr>
          <w:rFonts w:ascii="Arial" w:hAnsi="Arial" w:cs="David"/>
          <w:b/>
          <w:bCs/>
          <w:sz w:val="24"/>
          <w:szCs w:val="24"/>
          <w:rtl/>
        </w:rPr>
      </w:pPr>
      <w:r>
        <w:rPr>
          <w:rFonts w:ascii="Arial" w:hAnsi="Arial" w:cs="David"/>
          <w:sz w:val="24"/>
          <w:szCs w:val="24"/>
          <w:rtl/>
        </w:rPr>
        <w:lastRenderedPageBreak/>
        <w:t xml:space="preserve">אף עדות הנתבעת עצמה מלמדת, כי לא זו בלבד שהיא </w:t>
      </w:r>
      <w:r>
        <w:rPr>
          <w:rFonts w:ascii="Arial" w:hAnsi="Arial" w:cs="David"/>
          <w:b/>
          <w:bCs/>
          <w:sz w:val="24"/>
          <w:szCs w:val="24"/>
          <w:u w:val="single"/>
          <w:rtl/>
        </w:rPr>
        <w:t>מודה כי היתה בקיאה במכלול הפרטים</w:t>
      </w:r>
      <w:r>
        <w:rPr>
          <w:rFonts w:ascii="Arial" w:hAnsi="Arial" w:cs="David"/>
          <w:sz w:val="24"/>
          <w:szCs w:val="24"/>
          <w:rtl/>
        </w:rPr>
        <w:t xml:space="preserve"> הנוגעים בלב הסכסוך, אף יותר מבעלה המנוח, אלא </w:t>
      </w:r>
      <w:r>
        <w:rPr>
          <w:rFonts w:ascii="Arial" w:hAnsi="Arial" w:cs="David"/>
          <w:b/>
          <w:bCs/>
          <w:sz w:val="24"/>
          <w:szCs w:val="24"/>
          <w:u w:val="single"/>
          <w:rtl/>
        </w:rPr>
        <w:t>שהיא מודה בפה מלא בדבר קיומה של ההלוואה כשהיא חולקת על סכום ההחזר</w:t>
      </w:r>
      <w:r>
        <w:rPr>
          <w:rFonts w:ascii="Arial" w:hAnsi="Arial" w:cs="David"/>
          <w:sz w:val="24"/>
          <w:szCs w:val="24"/>
          <w:rtl/>
        </w:rPr>
        <w:t>,</w:t>
      </w:r>
      <w:r>
        <w:rPr>
          <w:rFonts w:ascii="Arial" w:hAnsi="Arial" w:cs="David"/>
          <w:b/>
          <w:bCs/>
          <w:sz w:val="24"/>
          <w:szCs w:val="24"/>
          <w:rtl/>
        </w:rPr>
        <w:t xml:space="preserve"> </w:t>
      </w:r>
      <w:r>
        <w:rPr>
          <w:rFonts w:ascii="Arial" w:hAnsi="Arial" w:cs="David"/>
          <w:sz w:val="24"/>
          <w:szCs w:val="24"/>
          <w:rtl/>
        </w:rPr>
        <w:t>כעולה בבירור מעדותה לפניי:</w:t>
      </w:r>
    </w:p>
    <w:p w:rsidR="002F765C" w:rsidRDefault="002F765C" w:rsidP="002F765C">
      <w:pPr>
        <w:pStyle w:val="ad"/>
        <w:rPr>
          <w:rFonts w:ascii="Arial" w:hAnsi="Arial" w:cs="David"/>
          <w:b/>
          <w:bCs/>
          <w:sz w:val="24"/>
          <w:szCs w:val="24"/>
        </w:rPr>
      </w:pPr>
    </w:p>
    <w:p w:rsidR="002F765C" w:rsidRDefault="002F765C" w:rsidP="002F765C">
      <w:pPr>
        <w:pStyle w:val="ad"/>
        <w:jc w:val="right"/>
        <w:rPr>
          <w:rFonts w:ascii="Arial" w:hAnsi="Arial" w:cs="David"/>
          <w:sz w:val="24"/>
          <w:szCs w:val="24"/>
          <w:rtl/>
        </w:rPr>
      </w:pPr>
      <w:r>
        <w:rPr>
          <w:noProof/>
        </w:rPr>
        <w:drawing>
          <wp:inline distT="0" distB="0" distL="0" distR="0">
            <wp:extent cx="4298315" cy="716280"/>
            <wp:effectExtent l="0" t="0" r="6985" b="762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8315" cy="716280"/>
                    </a:xfrm>
                    <a:prstGeom prst="rect">
                      <a:avLst/>
                    </a:prstGeom>
                    <a:noFill/>
                    <a:ln>
                      <a:noFill/>
                    </a:ln>
                  </pic:spPr>
                </pic:pic>
              </a:graphicData>
            </a:graphic>
          </wp:inline>
        </w:drawing>
      </w:r>
    </w:p>
    <w:p w:rsidR="002F765C" w:rsidRDefault="002F765C" w:rsidP="002F765C">
      <w:pPr>
        <w:pStyle w:val="ad"/>
        <w:spacing w:line="360" w:lineRule="auto"/>
        <w:ind w:left="5040" w:firstLine="720"/>
        <w:jc w:val="both"/>
        <w:rPr>
          <w:rFonts w:ascii="Arial" w:hAnsi="Arial" w:cs="David"/>
          <w:sz w:val="24"/>
          <w:szCs w:val="24"/>
          <w:rtl/>
        </w:rPr>
      </w:pPr>
      <w:r>
        <w:rPr>
          <w:rFonts w:ascii="Arial" w:hAnsi="Arial" w:cs="David"/>
          <w:sz w:val="20"/>
          <w:szCs w:val="20"/>
          <w:rtl/>
        </w:rPr>
        <w:t>ר' עמ' 22 לפרוט' ש' 31-34.</w:t>
      </w:r>
    </w:p>
    <w:p w:rsidR="002F765C" w:rsidRDefault="00A654EA" w:rsidP="002F765C">
      <w:pPr>
        <w:pStyle w:val="ad"/>
        <w:spacing w:line="360" w:lineRule="auto"/>
        <w:ind w:left="360"/>
        <w:jc w:val="right"/>
        <w:rPr>
          <w:rFonts w:ascii="Arial" w:hAnsi="Arial" w:cs="David"/>
          <w:sz w:val="24"/>
          <w:szCs w:val="24"/>
          <w:rtl/>
        </w:rPr>
      </w:pPr>
      <w:r w:rsidRPr="00A654EA">
        <w:rPr>
          <w:rFonts w:ascii="Arial" w:hAnsi="Arial" w:cs="David"/>
          <w:noProof/>
          <w:sz w:val="24"/>
          <w:szCs w:val="24"/>
          <w:rtl/>
        </w:rPr>
        <w:drawing>
          <wp:inline distT="0" distB="0" distL="0" distR="0" wp14:anchorId="19422EDD" wp14:editId="484B6BD4">
            <wp:extent cx="4162567" cy="631849"/>
            <wp:effectExtent l="0" t="0" r="0" b="0"/>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67332" cy="647752"/>
                    </a:xfrm>
                    <a:prstGeom prst="rect">
                      <a:avLst/>
                    </a:prstGeom>
                  </pic:spPr>
                </pic:pic>
              </a:graphicData>
            </a:graphic>
          </wp:inline>
        </w:drawing>
      </w:r>
    </w:p>
    <w:p w:rsidR="002F765C" w:rsidRDefault="002F765C" w:rsidP="002F765C">
      <w:pPr>
        <w:pStyle w:val="ad"/>
        <w:spacing w:line="360" w:lineRule="auto"/>
        <w:ind w:left="360"/>
        <w:jc w:val="both"/>
        <w:rPr>
          <w:rFonts w:ascii="Arial" w:hAnsi="Arial" w:cs="David"/>
          <w:sz w:val="24"/>
          <w:szCs w:val="24"/>
        </w:rPr>
      </w:pPr>
      <w:r>
        <w:rPr>
          <w:rFonts w:ascii="Arial" w:hAnsi="Arial" w:cs="David"/>
          <w:sz w:val="24"/>
          <w:szCs w:val="24"/>
          <w:rtl/>
        </w:rPr>
        <w:t xml:space="preserve">                                                                                                    </w:t>
      </w:r>
      <w:r>
        <w:rPr>
          <w:rFonts w:ascii="Arial" w:hAnsi="Arial" w:cs="David"/>
          <w:sz w:val="20"/>
          <w:szCs w:val="20"/>
          <w:rtl/>
        </w:rPr>
        <w:t>ר' עמ' 23 לפרוט' ש' 10-12.</w:t>
      </w:r>
    </w:p>
    <w:p w:rsidR="002F765C" w:rsidRDefault="002F765C" w:rsidP="002F765C">
      <w:pPr>
        <w:pStyle w:val="ad"/>
        <w:rPr>
          <w:rFonts w:ascii="Arial" w:hAnsi="Arial" w:cs="David"/>
          <w:sz w:val="24"/>
          <w:szCs w:val="24"/>
        </w:rPr>
      </w:pPr>
    </w:p>
    <w:p w:rsidR="002F765C" w:rsidRDefault="002F765C" w:rsidP="002F765C">
      <w:pPr>
        <w:pStyle w:val="ad"/>
        <w:numPr>
          <w:ilvl w:val="0"/>
          <w:numId w:val="1"/>
        </w:numPr>
        <w:spacing w:line="360" w:lineRule="auto"/>
        <w:jc w:val="both"/>
        <w:rPr>
          <w:rFonts w:ascii="Arial" w:hAnsi="Arial" w:cs="David"/>
          <w:b/>
          <w:bCs/>
          <w:sz w:val="24"/>
          <w:szCs w:val="24"/>
          <w:rtl/>
        </w:rPr>
      </w:pPr>
      <w:r>
        <w:rPr>
          <w:rFonts w:ascii="Arial" w:hAnsi="Arial" w:cs="David"/>
          <w:b/>
          <w:bCs/>
          <w:i/>
          <w:iCs/>
          <w:sz w:val="24"/>
          <w:szCs w:val="24"/>
          <w:rtl/>
        </w:rPr>
        <w:t>בהינתן האמור נהיר, כי טענות הנתבעים בסיכומיהם הינם למצער הרחבת חזית אסורה, שאין מקום להידרש אליה; זאת מעבר לנפקות היתרה שיש לדברים בראי מהימנות גרסתם.</w:t>
      </w:r>
    </w:p>
    <w:p w:rsidR="002F765C" w:rsidRDefault="002F765C" w:rsidP="002F765C">
      <w:pPr>
        <w:pStyle w:val="ad"/>
        <w:spacing w:line="360" w:lineRule="auto"/>
        <w:jc w:val="both"/>
        <w:rPr>
          <w:rFonts w:ascii="Arial" w:hAnsi="Arial" w:cs="David"/>
          <w:sz w:val="24"/>
          <w:szCs w:val="24"/>
        </w:rPr>
      </w:pPr>
    </w:p>
    <w:p w:rsidR="002F765C" w:rsidRDefault="002F765C" w:rsidP="002F765C">
      <w:pPr>
        <w:pStyle w:val="ad"/>
        <w:numPr>
          <w:ilvl w:val="0"/>
          <w:numId w:val="1"/>
        </w:numPr>
        <w:spacing w:line="360" w:lineRule="auto"/>
        <w:jc w:val="both"/>
        <w:rPr>
          <w:rFonts w:ascii="Arial" w:hAnsi="Arial" w:cs="David"/>
          <w:sz w:val="24"/>
          <w:szCs w:val="24"/>
        </w:rPr>
      </w:pPr>
      <w:r>
        <w:rPr>
          <w:rFonts w:ascii="Arial" w:eastAsia="Times New Roman" w:hAnsi="Arial" w:cs="David"/>
          <w:sz w:val="24"/>
          <w:szCs w:val="24"/>
          <w:rtl/>
        </w:rPr>
        <w:t xml:space="preserve">אופן הוכחת קיומה של הלוואה בסכסוכי משפחה בין קרובים דומה במהותו לאופן הוכחת הלוואה בסכסוכים כספיים שבין צדדים זרים זה לזה; כדברי כב' השופט א' זגורי: </w:t>
      </w:r>
      <w:r>
        <w:rPr>
          <w:rFonts w:ascii="David" w:eastAsia="Times New Roman" w:hAnsi="David" w:cs="David"/>
          <w:sz w:val="24"/>
          <w:szCs w:val="24"/>
          <w:rtl/>
        </w:rPr>
        <w:t>"</w:t>
      </w:r>
      <w:r>
        <w:rPr>
          <w:rFonts w:ascii="David" w:eastAsia="Times New Roman" w:hAnsi="David" w:cs="David"/>
          <w:b/>
          <w:bCs/>
          <w:sz w:val="24"/>
          <w:szCs w:val="24"/>
          <w:rtl/>
        </w:rPr>
        <w:t>מתן הלוואה בין קרובים ניתן להוכחה בכל אמצעי הראיה הקיימים, בדיוק כשם שניתן להוכחה בין צדדים הזרים זה לזו, ואין כל דבר חקיקה או דין ההופכים את "המסמך בכתב" לגבי הלוואה בין קרובי משפחה למסמך קונסטיטוטיבי שבלעדיו אין</w:t>
      </w:r>
      <w:r>
        <w:rPr>
          <w:rFonts w:ascii="Arial" w:eastAsia="Times New Roman" w:hAnsi="Arial" w:cs="David"/>
          <w:sz w:val="24"/>
          <w:szCs w:val="24"/>
          <w:rtl/>
        </w:rPr>
        <w:t>"</w:t>
      </w:r>
      <w:r>
        <w:rPr>
          <w:rFonts w:ascii="David" w:eastAsia="Times New Roman" w:hAnsi="David" w:cs="David"/>
          <w:b/>
          <w:bCs/>
          <w:sz w:val="24"/>
          <w:szCs w:val="24"/>
          <w:rtl/>
        </w:rPr>
        <w:t xml:space="preserve"> </w:t>
      </w:r>
      <w:r>
        <w:rPr>
          <w:rFonts w:ascii="David" w:eastAsia="Times New Roman" w:hAnsi="David" w:cs="David"/>
          <w:sz w:val="24"/>
          <w:szCs w:val="24"/>
          <w:rtl/>
        </w:rPr>
        <w:t xml:space="preserve">(תמ"ש (נצ') 11715-04-13 </w:t>
      </w:r>
      <w:r>
        <w:rPr>
          <w:rFonts w:ascii="David" w:eastAsia="Times New Roman" w:hAnsi="David" w:cs="David"/>
          <w:b/>
          <w:bCs/>
          <w:sz w:val="24"/>
          <w:szCs w:val="24"/>
          <w:rtl/>
        </w:rPr>
        <w:t xml:space="preserve">א.ס נ' א.ס </w:t>
      </w:r>
      <w:r>
        <w:rPr>
          <w:rFonts w:ascii="David" w:eastAsia="Times New Roman" w:hAnsi="David" w:cs="David"/>
          <w:sz w:val="24"/>
          <w:szCs w:val="24"/>
          <w:rtl/>
        </w:rPr>
        <w:t xml:space="preserve">(פורסם במאגרים המשפטיים, </w:t>
      </w:r>
      <w:r>
        <w:rPr>
          <w:rFonts w:ascii="Arial" w:eastAsia="Times New Roman" w:hAnsi="Arial" w:cs="David"/>
          <w:sz w:val="24"/>
          <w:szCs w:val="24"/>
          <w:rtl/>
        </w:rPr>
        <w:t>2.2.14), סעיף 9 לפסה"ד).</w:t>
      </w:r>
    </w:p>
    <w:p w:rsidR="002F765C" w:rsidRDefault="002F765C" w:rsidP="002F765C">
      <w:pPr>
        <w:pStyle w:val="ad"/>
        <w:rPr>
          <w:rFonts w:ascii="Arial" w:hAnsi="Arial" w:cs="David"/>
          <w:sz w:val="24"/>
          <w:szCs w:val="24"/>
        </w:rPr>
      </w:pPr>
    </w:p>
    <w:p w:rsidR="002F765C" w:rsidRDefault="002F765C" w:rsidP="002F765C">
      <w:pPr>
        <w:pStyle w:val="ad"/>
        <w:numPr>
          <w:ilvl w:val="0"/>
          <w:numId w:val="1"/>
        </w:numPr>
        <w:spacing w:line="360" w:lineRule="auto"/>
        <w:jc w:val="both"/>
        <w:rPr>
          <w:rFonts w:ascii="Arial" w:hAnsi="Arial" w:cs="David"/>
          <w:sz w:val="24"/>
          <w:szCs w:val="24"/>
          <w:rtl/>
        </w:rPr>
      </w:pPr>
      <w:r>
        <w:rPr>
          <w:rFonts w:ascii="Arial" w:hAnsi="Arial" w:cs="David"/>
          <w:sz w:val="24"/>
          <w:szCs w:val="24"/>
          <w:rtl/>
        </w:rPr>
        <w:t xml:space="preserve">אין חולק, כי בין הצדדים </w:t>
      </w:r>
      <w:r>
        <w:rPr>
          <w:rFonts w:ascii="Arial" w:hAnsi="Arial" w:cs="David"/>
          <w:b/>
          <w:bCs/>
          <w:sz w:val="24"/>
          <w:szCs w:val="24"/>
          <w:u w:val="single"/>
          <w:rtl/>
        </w:rPr>
        <w:t>לא נחתם הסכם הלוואה</w:t>
      </w:r>
      <w:r>
        <w:rPr>
          <w:rFonts w:ascii="Arial" w:hAnsi="Arial" w:cs="David"/>
          <w:sz w:val="24"/>
          <w:szCs w:val="24"/>
          <w:rtl/>
        </w:rPr>
        <w:t xml:space="preserve">; אליבא דהתובעים, לאור קשרי המשפחה ומערכת היחסים ששררה בין הצדדים, שאופיינה באמון ובעזרה הדדית, לא נערך הסכם בכתב, כי אם גובשו הסכמות בע"פ בין הצדדים, לפיהן, החזר ההלוואה יעמוד על שליש משווי דירת המגורים שנרכשה ע"י הנתבעים וסכום זה יוחזר, במועד מכירת הדירה או פטירת הנתבעים. </w:t>
      </w:r>
    </w:p>
    <w:p w:rsidR="002F765C" w:rsidRDefault="002F765C" w:rsidP="002F765C">
      <w:pPr>
        <w:pStyle w:val="ad"/>
        <w:rPr>
          <w:rFonts w:ascii="Arial" w:hAnsi="Arial" w:cs="David"/>
          <w:sz w:val="24"/>
          <w:szCs w:val="24"/>
        </w:rPr>
      </w:pPr>
    </w:p>
    <w:p w:rsidR="002F765C" w:rsidRDefault="002F765C" w:rsidP="002F765C">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 xml:space="preserve">היחסים הקרובים ששררו בין הצדדים, בהיות התובעים בתם וחתנה של הנתבעים, נכון למועד רכישת הדירה ומתן ההלוואה, באו לידי ביטוי, בין היתר, בעובדה שאינה במחלוקת, כי התובעים אפשרו לנתבעים להתגורר עמם בביתם ללא תשלום כספי, למצער במשך </w:t>
      </w:r>
      <w:r>
        <w:rPr>
          <w:rFonts w:ascii="Arial" w:eastAsia="Times New Roman" w:hAnsi="Arial" w:cs="David"/>
          <w:b/>
          <w:bCs/>
          <w:sz w:val="24"/>
          <w:szCs w:val="24"/>
          <w:u w:val="single"/>
          <w:rtl/>
        </w:rPr>
        <w:t>תקופת זמן ממושכת בת כשלוש שנים</w:t>
      </w:r>
      <w:r>
        <w:rPr>
          <w:rFonts w:ascii="Arial" w:eastAsia="Times New Roman" w:hAnsi="Arial" w:cs="David"/>
          <w:sz w:val="24"/>
          <w:szCs w:val="24"/>
          <w:rtl/>
        </w:rPr>
        <w:t>, שבה המתינו לקבלת דירתם, כעולה בבירור מעדות שני הצדדים  (ר' עדות הנתבעת בעמ' 23 ש' 1-3; עדות התובע בעמ' 14 ש' 31-עמ' 15 ש' 2).</w:t>
      </w:r>
    </w:p>
    <w:p w:rsidR="002F765C" w:rsidRDefault="002F765C" w:rsidP="002F765C">
      <w:pPr>
        <w:pStyle w:val="ad"/>
        <w:numPr>
          <w:ilvl w:val="0"/>
          <w:numId w:val="1"/>
        </w:numPr>
        <w:spacing w:after="0" w:line="360" w:lineRule="auto"/>
        <w:jc w:val="both"/>
        <w:rPr>
          <w:rFonts w:ascii="David" w:hAnsi="David" w:cs="David"/>
          <w:sz w:val="24"/>
          <w:szCs w:val="24"/>
        </w:rPr>
      </w:pPr>
      <w:r>
        <w:rPr>
          <w:rFonts w:ascii="David" w:eastAsia="Times New Roman" w:hAnsi="David" w:cs="David"/>
          <w:sz w:val="24"/>
          <w:szCs w:val="24"/>
          <w:rtl/>
        </w:rPr>
        <w:lastRenderedPageBreak/>
        <w:t xml:space="preserve">אמנם במסגרת הליך זה, קרי: בדיעבד, טענה הנתבעת כי "נוצלה" על ידי בתה בחתנה במהלך תקופה זו, בין השאר, מחמת העובדה שטיפלה ושמרה על נכדיה לרבות בזמן שהות הוריהם בחו"ל וכו'; אולם דומה כי טענה זו נטענה מהשפה לחוץ, ולמצער ללא כל תימוכין. </w:t>
      </w:r>
    </w:p>
    <w:p w:rsidR="002F765C" w:rsidRDefault="002F765C" w:rsidP="002F765C">
      <w:pPr>
        <w:pStyle w:val="ad"/>
        <w:rPr>
          <w:rFonts w:ascii="David" w:eastAsia="Times New Roman" w:hAnsi="David" w:cs="David"/>
          <w:sz w:val="24"/>
          <w:szCs w:val="24"/>
        </w:rPr>
      </w:pPr>
    </w:p>
    <w:p w:rsidR="002F765C" w:rsidRDefault="002F765C" w:rsidP="00F53EBB">
      <w:pPr>
        <w:pStyle w:val="ad"/>
        <w:numPr>
          <w:ilvl w:val="0"/>
          <w:numId w:val="1"/>
        </w:numPr>
        <w:spacing w:after="0" w:line="360" w:lineRule="auto"/>
        <w:jc w:val="both"/>
        <w:rPr>
          <w:rFonts w:ascii="David" w:hAnsi="David" w:cs="David"/>
          <w:sz w:val="24"/>
          <w:szCs w:val="24"/>
          <w:rtl/>
        </w:rPr>
      </w:pPr>
      <w:r>
        <w:rPr>
          <w:rFonts w:ascii="David" w:eastAsia="Times New Roman" w:hAnsi="David" w:cs="David"/>
          <w:sz w:val="24"/>
          <w:szCs w:val="24"/>
          <w:rtl/>
        </w:rPr>
        <w:t xml:space="preserve">יותר מכך, דומה, כי הדברים נאמרו על רקע הקרע הקשה שנוצר במשפחה בין התובעים לבין הנתבעים. קרע שאין חולק, כי ארע מספר שנים טרם החל ההליך המשפטי; </w:t>
      </w:r>
      <w:r>
        <w:rPr>
          <w:rFonts w:ascii="David" w:eastAsia="Times New Roman" w:hAnsi="David" w:cs="David"/>
          <w:b/>
          <w:bCs/>
          <w:sz w:val="24"/>
          <w:szCs w:val="24"/>
          <w:u w:val="single"/>
          <w:rtl/>
        </w:rPr>
        <w:t>הקרע כמו גם כאבם של הצדדים</w:t>
      </w:r>
      <w:r>
        <w:rPr>
          <w:rFonts w:ascii="David" w:eastAsia="Times New Roman" w:hAnsi="David" w:cs="David"/>
          <w:sz w:val="24"/>
          <w:szCs w:val="24"/>
          <w:rtl/>
        </w:rPr>
        <w:t xml:space="preserve"> השתקף אף בפרוטוקול הדיון, מפי האם והבת כאחד </w:t>
      </w:r>
      <w:r w:rsidR="000B7A6C">
        <w:rPr>
          <w:rFonts w:ascii="David" w:hAnsi="David" w:cs="David"/>
          <w:b/>
          <w:bCs/>
          <w:rtl/>
        </w:rPr>
        <w:t>"העדה</w:t>
      </w:r>
      <w:r w:rsidR="000B7A6C">
        <w:rPr>
          <w:rFonts w:ascii="David" w:hAnsi="David" w:cs="David" w:hint="cs"/>
          <w:b/>
          <w:bCs/>
          <w:rtl/>
        </w:rPr>
        <w:t xml:space="preserve"> </w:t>
      </w:r>
      <w:r>
        <w:rPr>
          <w:rFonts w:ascii="David" w:hAnsi="David" w:cs="David"/>
          <w:b/>
          <w:bCs/>
          <w:rtl/>
        </w:rPr>
        <w:t xml:space="preserve">גב' </w:t>
      </w:r>
      <w:r w:rsidR="000B7A6C">
        <w:rPr>
          <w:rFonts w:ascii="David" w:hAnsi="David" w:cs="David" w:hint="cs"/>
          <w:b/>
          <w:bCs/>
          <w:rtl/>
        </w:rPr>
        <w:t>ש'</w:t>
      </w:r>
      <w:r w:rsidR="00F53EBB">
        <w:rPr>
          <w:rFonts w:ascii="David" w:hAnsi="David" w:cs="David" w:hint="cs"/>
          <w:rtl/>
        </w:rPr>
        <w:t xml:space="preserve"> (הנתבעת-ה.מ.ש)</w:t>
      </w:r>
      <w:r w:rsidR="000B7A6C">
        <w:rPr>
          <w:rFonts w:ascii="David" w:hAnsi="David" w:cs="David" w:hint="cs"/>
          <w:b/>
          <w:bCs/>
          <w:rtl/>
        </w:rPr>
        <w:t>:</w:t>
      </w:r>
      <w:r>
        <w:rPr>
          <w:rFonts w:ascii="David" w:hAnsi="David" w:cs="David"/>
          <w:b/>
          <w:bCs/>
          <w:rtl/>
        </w:rPr>
        <w:t xml:space="preserve"> כבוד השופטת, אני רק רוצה להגיד לך משהו. שכבר </w:t>
      </w:r>
      <w:bookmarkStart w:id="0" w:name="_ETM_Q_3294773"/>
      <w:bookmarkEnd w:id="0"/>
      <w:r>
        <w:rPr>
          <w:rFonts w:ascii="David" w:hAnsi="David" w:cs="David"/>
          <w:b/>
          <w:bCs/>
          <w:rtl/>
        </w:rPr>
        <w:t xml:space="preserve">6 שנים אין לי בת. </w:t>
      </w:r>
      <w:bookmarkStart w:id="1" w:name="_ETM_Q_3302296"/>
      <w:bookmarkEnd w:id="1"/>
      <w:r>
        <w:rPr>
          <w:rFonts w:ascii="David" w:hAnsi="David" w:cs="David"/>
          <w:b/>
          <w:bCs/>
          <w:rtl/>
        </w:rPr>
        <w:t>דוברת</w:t>
      </w:r>
      <w:r>
        <w:rPr>
          <w:rFonts w:ascii="David" w:hAnsi="David" w:cs="David"/>
          <w:rtl/>
        </w:rPr>
        <w:t xml:space="preserve"> (התובעת – ה.מ.ש)</w:t>
      </w:r>
      <w:r>
        <w:rPr>
          <w:rFonts w:ascii="David" w:hAnsi="David" w:cs="David"/>
          <w:b/>
          <w:bCs/>
          <w:rtl/>
        </w:rPr>
        <w:t xml:space="preserve">: ולי אין אמא" </w:t>
      </w:r>
      <w:r>
        <w:rPr>
          <w:rFonts w:ascii="David" w:hAnsi="David" w:cs="David"/>
          <w:sz w:val="24"/>
          <w:szCs w:val="24"/>
          <w:rtl/>
        </w:rPr>
        <w:t>(עמ' 31 לפרוט' ש' 27-28).</w:t>
      </w:r>
    </w:p>
    <w:p w:rsidR="002F765C" w:rsidRDefault="002F765C" w:rsidP="002F765C">
      <w:pPr>
        <w:spacing w:line="360" w:lineRule="auto"/>
        <w:ind w:left="720"/>
        <w:contextualSpacing/>
        <w:jc w:val="both"/>
        <w:rPr>
          <w:rFonts w:ascii="Arial" w:hAnsi="Arial"/>
          <w:rtl/>
        </w:rPr>
      </w:pPr>
    </w:p>
    <w:p w:rsidR="002F765C" w:rsidRDefault="002F765C" w:rsidP="002F765C">
      <w:pPr>
        <w:pStyle w:val="ad"/>
        <w:numPr>
          <w:ilvl w:val="0"/>
          <w:numId w:val="1"/>
        </w:numPr>
        <w:spacing w:line="360" w:lineRule="auto"/>
        <w:jc w:val="both"/>
        <w:rPr>
          <w:rFonts w:ascii="Arial" w:hAnsi="Arial" w:cs="David"/>
          <w:b/>
          <w:bCs/>
          <w:sz w:val="24"/>
          <w:szCs w:val="24"/>
        </w:rPr>
      </w:pPr>
      <w:r>
        <w:rPr>
          <w:rFonts w:ascii="Arial" w:hAnsi="Arial" w:cs="David"/>
          <w:sz w:val="24"/>
          <w:szCs w:val="24"/>
          <w:rtl/>
        </w:rPr>
        <w:t>מכל מקום, ובהינתן כלל המצוי לפניי בהליך דנא, לרבות ככל האמור לעיל</w:t>
      </w:r>
      <w:r>
        <w:rPr>
          <w:rFonts w:ascii="Arial" w:hAnsi="Arial" w:cs="David"/>
          <w:b/>
          <w:bCs/>
          <w:sz w:val="24"/>
          <w:szCs w:val="24"/>
          <w:rtl/>
        </w:rPr>
        <w:t>, ברי כי בהלוואה עסקינן</w:t>
      </w:r>
      <w:r>
        <w:rPr>
          <w:rFonts w:ascii="Arial" w:hAnsi="Arial" w:cs="David"/>
          <w:sz w:val="24"/>
          <w:szCs w:val="24"/>
          <w:rtl/>
        </w:rPr>
        <w:t>.</w:t>
      </w:r>
      <w:r>
        <w:rPr>
          <w:rFonts w:ascii="Arial" w:hAnsi="Arial" w:cs="David"/>
          <w:b/>
          <w:bCs/>
          <w:sz w:val="24"/>
          <w:szCs w:val="24"/>
          <w:rtl/>
        </w:rPr>
        <w:t xml:space="preserve"> </w:t>
      </w:r>
      <w:r>
        <w:rPr>
          <w:rFonts w:ascii="Arial" w:hAnsi="Arial" w:cs="David"/>
          <w:sz w:val="24"/>
          <w:szCs w:val="24"/>
          <w:rtl/>
        </w:rPr>
        <w:t xml:space="preserve">לאור זאת ובהינתן המחלוקת הנטועה בין הצדדים לעניין שיעור ההלוואה שניתנה, כמו גם המכלול הראייתי שהוצג והוכח בפניי, לא מצאתי כי עלה בידי הנתבעת להוכיח את טענותיה בדבר הסכום שקיבלה. </w:t>
      </w:r>
    </w:p>
    <w:p w:rsidR="002F765C" w:rsidRDefault="002F765C" w:rsidP="002F765C">
      <w:pPr>
        <w:pStyle w:val="ad"/>
        <w:rPr>
          <w:rFonts w:ascii="Arial" w:hAnsi="Arial" w:cs="David"/>
          <w:sz w:val="24"/>
          <w:szCs w:val="24"/>
        </w:rPr>
      </w:pPr>
    </w:p>
    <w:p w:rsidR="002F765C" w:rsidRDefault="002F765C" w:rsidP="00F53EBB">
      <w:pPr>
        <w:pStyle w:val="ad"/>
        <w:numPr>
          <w:ilvl w:val="0"/>
          <w:numId w:val="1"/>
        </w:numPr>
        <w:spacing w:line="360" w:lineRule="auto"/>
        <w:jc w:val="both"/>
        <w:rPr>
          <w:rFonts w:ascii="Arial" w:hAnsi="Arial" w:cs="David"/>
          <w:sz w:val="24"/>
          <w:szCs w:val="24"/>
          <w:rtl/>
        </w:rPr>
      </w:pPr>
      <w:r>
        <w:rPr>
          <w:rFonts w:ascii="Arial" w:hAnsi="Arial" w:cs="David"/>
          <w:sz w:val="24"/>
          <w:szCs w:val="24"/>
          <w:rtl/>
        </w:rPr>
        <w:t xml:space="preserve">אשר לרכיבי סכום ההלוואה וסכום ההחזר הנדרש בגינה – טענות התובעים בנדון נתמכו, בין היתר, </w:t>
      </w:r>
      <w:r>
        <w:rPr>
          <w:rFonts w:ascii="David" w:hAnsi="David" w:cs="David"/>
          <w:sz w:val="24"/>
          <w:szCs w:val="24"/>
          <w:rtl/>
        </w:rPr>
        <w:t>במסמכים הבאים: הסכם רכישת הדירה של הנתבעים (ר' נספח א' לכתב התביעה),</w:t>
      </w:r>
      <w:r w:rsidR="00F53EBB">
        <w:rPr>
          <w:rFonts w:ascii="David" w:hAnsi="David" w:cs="David"/>
          <w:sz w:val="24"/>
          <w:szCs w:val="24"/>
          <w:rtl/>
        </w:rPr>
        <w:t xml:space="preserve"> והצוואה ההדדית של הנתבעים מיום</w:t>
      </w:r>
      <w:r w:rsidR="00F53EBB">
        <w:rPr>
          <w:rFonts w:ascii="David" w:hAnsi="David" w:cs="David" w:hint="cs"/>
          <w:sz w:val="24"/>
          <w:szCs w:val="24"/>
          <w:rtl/>
        </w:rPr>
        <w:t xml:space="preserve"> </w:t>
      </w:r>
      <w:r w:rsidR="00F53EBB">
        <w:rPr>
          <w:rFonts w:ascii="David" w:hAnsi="David" w:cs="David"/>
          <w:sz w:val="24"/>
          <w:szCs w:val="24"/>
        </w:rPr>
        <w:t>x.x.2007</w:t>
      </w:r>
      <w:r w:rsidR="00F53EBB">
        <w:rPr>
          <w:rFonts w:ascii="David" w:hAnsi="David" w:cs="David" w:hint="cs"/>
          <w:sz w:val="24"/>
          <w:szCs w:val="24"/>
          <w:rtl/>
        </w:rPr>
        <w:t xml:space="preserve"> </w:t>
      </w:r>
      <w:r>
        <w:rPr>
          <w:rFonts w:ascii="David" w:hAnsi="David" w:cs="David"/>
          <w:sz w:val="24"/>
          <w:szCs w:val="24"/>
          <w:rtl/>
        </w:rPr>
        <w:t xml:space="preserve">הכוללת הוראה לפיה בעת מכירת הנכס של הנתבעים, יינתן 1/3 משווי התמורה לתובע 1 אשר העמיד להם 1/3 מהכספים שהיו נדרשים לרכישת הבית (ר' נספח ב' לכתב התביעה); </w:t>
      </w:r>
      <w:r>
        <w:rPr>
          <w:rFonts w:ascii="Arial" w:hAnsi="Arial" w:cs="David"/>
          <w:sz w:val="24"/>
          <w:szCs w:val="24"/>
          <w:rtl/>
        </w:rPr>
        <w:t xml:space="preserve">כך גם זימנו התובעים את עוה"ד </w:t>
      </w:r>
      <w:r w:rsidR="007B4BD2">
        <w:rPr>
          <w:rFonts w:ascii="Arial" w:hAnsi="Arial" w:cs="David" w:hint="cs"/>
          <w:sz w:val="24"/>
          <w:szCs w:val="24"/>
          <w:rtl/>
        </w:rPr>
        <w:t>ג'</w:t>
      </w:r>
      <w:r>
        <w:rPr>
          <w:rFonts w:ascii="Arial" w:hAnsi="Arial" w:cs="David"/>
          <w:sz w:val="24"/>
          <w:szCs w:val="24"/>
          <w:rtl/>
        </w:rPr>
        <w:t xml:space="preserve"> שערכה את הצוואות ההדדיות הנזכרות לעיל.</w:t>
      </w:r>
    </w:p>
    <w:p w:rsidR="002F765C" w:rsidRDefault="002F765C" w:rsidP="002F765C">
      <w:pPr>
        <w:pStyle w:val="ad"/>
        <w:spacing w:line="360" w:lineRule="auto"/>
        <w:jc w:val="both"/>
        <w:rPr>
          <w:rFonts w:ascii="Arial" w:hAnsi="Arial" w:cs="David"/>
          <w:sz w:val="24"/>
          <w:szCs w:val="24"/>
        </w:rPr>
      </w:pPr>
    </w:p>
    <w:p w:rsidR="002F765C" w:rsidRDefault="002F765C" w:rsidP="002F765C">
      <w:pPr>
        <w:pStyle w:val="ad"/>
        <w:numPr>
          <w:ilvl w:val="0"/>
          <w:numId w:val="1"/>
        </w:numPr>
        <w:spacing w:line="360" w:lineRule="auto"/>
        <w:jc w:val="both"/>
        <w:rPr>
          <w:rFonts w:ascii="Arial" w:hAnsi="Arial" w:cs="David"/>
          <w:sz w:val="24"/>
          <w:szCs w:val="24"/>
        </w:rPr>
      </w:pPr>
      <w:r>
        <w:rPr>
          <w:rFonts w:ascii="Arial" w:hAnsi="Arial" w:cs="David"/>
          <w:sz w:val="24"/>
          <w:szCs w:val="24"/>
          <w:rtl/>
        </w:rPr>
        <w:t xml:space="preserve">מתוך הצוואות ההדדיות </w:t>
      </w:r>
      <w:r>
        <w:rPr>
          <w:rFonts w:ascii="Arial" w:hAnsi="Arial" w:cs="David"/>
          <w:b/>
          <w:bCs/>
          <w:i/>
          <w:iCs/>
          <w:sz w:val="24"/>
          <w:szCs w:val="24"/>
          <w:rtl/>
        </w:rPr>
        <w:t>הזהות</w:t>
      </w:r>
      <w:r>
        <w:rPr>
          <w:rFonts w:ascii="Arial" w:hAnsi="Arial" w:cs="David"/>
          <w:sz w:val="24"/>
          <w:szCs w:val="24"/>
          <w:rtl/>
        </w:rPr>
        <w:t xml:space="preserve"> שערכו הנתבעים, מבקשים התובעים ללמד אודות  ההלוואה, היקפה ותנאי החזרתה, תוך תיקוף טענותיהם בנדון; מתוך כך יובאו עיקרי הדברים בנדון:</w:t>
      </w:r>
    </w:p>
    <w:p w:rsidR="002F765C" w:rsidRDefault="00256010" w:rsidP="002F765C">
      <w:pPr>
        <w:spacing w:line="360" w:lineRule="auto"/>
        <w:jc w:val="center"/>
        <w:rPr>
          <w:rFonts w:ascii="Arial" w:hAnsi="Arial"/>
          <w:rtl/>
        </w:rPr>
      </w:pPr>
      <w:r w:rsidRPr="00256010">
        <w:rPr>
          <w:rFonts w:ascii="Arial" w:hAnsi="Arial"/>
          <w:rtl/>
        </w:rPr>
        <w:drawing>
          <wp:inline distT="0" distB="0" distL="0" distR="0" wp14:anchorId="224446A7" wp14:editId="24353A30">
            <wp:extent cx="4237630" cy="1392115"/>
            <wp:effectExtent l="0" t="0" r="0" b="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56213" cy="1398220"/>
                    </a:xfrm>
                    <a:prstGeom prst="rect">
                      <a:avLst/>
                    </a:prstGeom>
                  </pic:spPr>
                </pic:pic>
              </a:graphicData>
            </a:graphic>
          </wp:inline>
        </w:drawing>
      </w:r>
    </w:p>
    <w:p w:rsidR="002F765C" w:rsidRDefault="002F765C" w:rsidP="002F765C">
      <w:pPr>
        <w:pStyle w:val="ad"/>
        <w:rPr>
          <w:rFonts w:ascii="Arial" w:hAnsi="Arial" w:cs="David"/>
          <w:sz w:val="24"/>
          <w:szCs w:val="24"/>
        </w:rPr>
      </w:pPr>
    </w:p>
    <w:p w:rsidR="002F765C" w:rsidRDefault="002F765C" w:rsidP="007B4BD2">
      <w:pPr>
        <w:pStyle w:val="ad"/>
        <w:numPr>
          <w:ilvl w:val="0"/>
          <w:numId w:val="1"/>
        </w:numPr>
        <w:spacing w:line="360" w:lineRule="auto"/>
        <w:jc w:val="both"/>
        <w:rPr>
          <w:rFonts w:ascii="Arial" w:hAnsi="Arial" w:cs="David"/>
          <w:sz w:val="24"/>
          <w:szCs w:val="24"/>
        </w:rPr>
      </w:pPr>
      <w:r>
        <w:rPr>
          <w:rFonts w:ascii="Arial" w:hAnsi="Arial" w:cs="David"/>
          <w:sz w:val="24"/>
          <w:szCs w:val="24"/>
          <w:rtl/>
        </w:rPr>
        <w:lastRenderedPageBreak/>
        <w:t xml:space="preserve">בנוסף, לצורך הוכחת תביעתם, עתרו התובעים לזימונה של עוה"ד </w:t>
      </w:r>
      <w:r w:rsidR="007B4BD2">
        <w:rPr>
          <w:rFonts w:ascii="Arial" w:hAnsi="Arial" w:cs="David" w:hint="cs"/>
          <w:sz w:val="24"/>
          <w:szCs w:val="24"/>
          <w:rtl/>
        </w:rPr>
        <w:t>ג'</w:t>
      </w:r>
      <w:r>
        <w:rPr>
          <w:rFonts w:ascii="Arial" w:hAnsi="Arial" w:cs="David"/>
          <w:sz w:val="24"/>
          <w:szCs w:val="24"/>
          <w:rtl/>
        </w:rPr>
        <w:t xml:space="preserve"> להעיד, לרבות בדבר הוראות שכללו הצוואות ההדדיות שערכו הנתבעים </w:t>
      </w:r>
      <w:r>
        <w:rPr>
          <w:rFonts w:ascii="Arial" w:hAnsi="Arial" w:cs="David"/>
          <w:b/>
          <w:bCs/>
          <w:sz w:val="24"/>
          <w:szCs w:val="24"/>
          <w:rtl/>
        </w:rPr>
        <w:t>בזיקה לתנאי ההלוואה והחזרה</w:t>
      </w:r>
      <w:r>
        <w:rPr>
          <w:rFonts w:ascii="Arial" w:hAnsi="Arial" w:cs="David"/>
          <w:sz w:val="24"/>
          <w:szCs w:val="24"/>
          <w:rtl/>
        </w:rPr>
        <w:t>, בהבדל מנפקות מסמכי הצוואות בכל מישור אחר.</w:t>
      </w:r>
    </w:p>
    <w:p w:rsidR="00256010" w:rsidRDefault="00256010" w:rsidP="00256010">
      <w:pPr>
        <w:pStyle w:val="ad"/>
        <w:spacing w:line="360" w:lineRule="auto"/>
        <w:jc w:val="both"/>
        <w:rPr>
          <w:rFonts w:ascii="Arial" w:hAnsi="Arial" w:cs="David"/>
          <w:sz w:val="24"/>
          <w:szCs w:val="24"/>
          <w:rtl/>
        </w:rPr>
      </w:pPr>
    </w:p>
    <w:p w:rsidR="002F765C" w:rsidRDefault="002F765C" w:rsidP="007F0237">
      <w:pPr>
        <w:pStyle w:val="ad"/>
        <w:numPr>
          <w:ilvl w:val="0"/>
          <w:numId w:val="1"/>
        </w:numPr>
        <w:spacing w:line="360" w:lineRule="auto"/>
        <w:jc w:val="both"/>
        <w:rPr>
          <w:rFonts w:ascii="Arial" w:hAnsi="Arial" w:cs="David"/>
          <w:sz w:val="24"/>
          <w:szCs w:val="24"/>
        </w:rPr>
      </w:pPr>
      <w:r>
        <w:rPr>
          <w:rFonts w:ascii="Arial" w:hAnsi="Arial" w:cs="David"/>
          <w:sz w:val="24"/>
          <w:szCs w:val="24"/>
          <w:rtl/>
        </w:rPr>
        <w:t xml:space="preserve">להשלמת התמונה בהקשר זה יודגש, </w:t>
      </w:r>
      <w:r>
        <w:rPr>
          <w:rFonts w:ascii="Arial" w:hAnsi="Arial" w:cs="David"/>
          <w:b/>
          <w:bCs/>
          <w:i/>
          <w:iCs/>
          <w:sz w:val="24"/>
          <w:szCs w:val="24"/>
          <w:u w:val="single"/>
          <w:rtl/>
        </w:rPr>
        <w:t>שאין מחלוקת שהנתבעים ערכו צוואה אחרת תחת</w:t>
      </w:r>
      <w:r>
        <w:rPr>
          <w:rFonts w:ascii="Arial" w:hAnsi="Arial" w:cs="David"/>
          <w:b/>
          <w:bCs/>
          <w:i/>
          <w:iCs/>
          <w:sz w:val="24"/>
          <w:szCs w:val="24"/>
          <w:rtl/>
        </w:rPr>
        <w:t xml:space="preserve"> </w:t>
      </w:r>
      <w:r>
        <w:rPr>
          <w:rFonts w:ascii="Arial" w:hAnsi="Arial" w:cs="David"/>
          <w:b/>
          <w:bCs/>
          <w:i/>
          <w:iCs/>
          <w:sz w:val="24"/>
          <w:szCs w:val="24"/>
          <w:u w:val="single"/>
          <w:rtl/>
        </w:rPr>
        <w:t xml:space="preserve">הצוואות שנערכו עבורם ע"י עוה"ד </w:t>
      </w:r>
      <w:r w:rsidR="007F0237">
        <w:rPr>
          <w:rFonts w:ascii="Arial" w:hAnsi="Arial" w:cs="David" w:hint="cs"/>
          <w:b/>
          <w:bCs/>
          <w:i/>
          <w:iCs/>
          <w:sz w:val="24"/>
          <w:szCs w:val="24"/>
          <w:u w:val="single"/>
          <w:rtl/>
        </w:rPr>
        <w:t>ג'</w:t>
      </w:r>
      <w:r>
        <w:rPr>
          <w:rFonts w:ascii="Arial" w:hAnsi="Arial" w:cs="David"/>
          <w:sz w:val="24"/>
          <w:szCs w:val="24"/>
          <w:rtl/>
        </w:rPr>
        <w:t xml:space="preserve">; </w:t>
      </w:r>
      <w:r>
        <w:rPr>
          <w:rFonts w:ascii="Arial" w:hAnsi="Arial" w:cs="David"/>
          <w:b/>
          <w:bCs/>
          <w:i/>
          <w:iCs/>
          <w:sz w:val="24"/>
          <w:szCs w:val="24"/>
          <w:u w:val="single"/>
          <w:rtl/>
        </w:rPr>
        <w:t>כך גם אין מחלוקת, כי צוואת הנתבע שהלך לעולמו הוגשה לקיום וקוימה ללא כל התנגדות מצד התובעים</w:t>
      </w:r>
      <w:r>
        <w:rPr>
          <w:rFonts w:ascii="Arial" w:hAnsi="Arial" w:cs="David"/>
          <w:sz w:val="24"/>
          <w:szCs w:val="24"/>
          <w:rtl/>
        </w:rPr>
        <w:t xml:space="preserve"> (ר' המסמכים שצורפו להודעה על מתן צו קיום צוואה שהוגש מטעם הנתבעים, לרבות צוואת המנוח מיום 1.1.2020 וצו לקיום הצוואה מיום 18.1.2022, וכן החלטה בנדון מיום 28.3.2022).</w:t>
      </w:r>
    </w:p>
    <w:p w:rsidR="002F765C" w:rsidRDefault="002F765C" w:rsidP="002F765C">
      <w:pPr>
        <w:pStyle w:val="ad"/>
        <w:rPr>
          <w:rFonts w:ascii="Arial" w:hAnsi="Arial" w:cs="David"/>
          <w:sz w:val="24"/>
          <w:szCs w:val="24"/>
        </w:rPr>
      </w:pPr>
    </w:p>
    <w:p w:rsidR="002F765C" w:rsidRDefault="002F765C" w:rsidP="001846CD">
      <w:pPr>
        <w:pStyle w:val="ad"/>
        <w:numPr>
          <w:ilvl w:val="0"/>
          <w:numId w:val="1"/>
        </w:numPr>
        <w:spacing w:line="360" w:lineRule="auto"/>
        <w:jc w:val="both"/>
        <w:rPr>
          <w:rFonts w:ascii="David" w:hAnsi="David" w:cs="David"/>
          <w:sz w:val="24"/>
          <w:szCs w:val="24"/>
          <w:rtl/>
        </w:rPr>
      </w:pPr>
      <w:r>
        <w:rPr>
          <w:rFonts w:ascii="Arial" w:hAnsi="Arial" w:cs="David"/>
          <w:b/>
          <w:bCs/>
          <w:i/>
          <w:iCs/>
          <w:sz w:val="24"/>
          <w:szCs w:val="24"/>
          <w:rtl/>
        </w:rPr>
        <w:t xml:space="preserve">את עדותה של עוה"ד </w:t>
      </w:r>
      <w:r w:rsidR="001846CD">
        <w:rPr>
          <w:rFonts w:ascii="Arial" w:hAnsi="Arial" w:cs="David" w:hint="cs"/>
          <w:b/>
          <w:bCs/>
          <w:i/>
          <w:iCs/>
          <w:sz w:val="24"/>
          <w:szCs w:val="24"/>
          <w:rtl/>
        </w:rPr>
        <w:t>ג'</w:t>
      </w:r>
      <w:r>
        <w:rPr>
          <w:rFonts w:ascii="Arial" w:hAnsi="Arial" w:cs="David"/>
          <w:b/>
          <w:bCs/>
          <w:i/>
          <w:iCs/>
          <w:sz w:val="24"/>
          <w:szCs w:val="24"/>
          <w:rtl/>
        </w:rPr>
        <w:t xml:space="preserve"> מצאתי קוהרנטית, שוטפת, בהירה ומהימנה</w:t>
      </w:r>
      <w:r>
        <w:rPr>
          <w:rFonts w:ascii="Arial" w:hAnsi="Arial" w:cs="David"/>
          <w:sz w:val="24"/>
          <w:szCs w:val="24"/>
          <w:rtl/>
        </w:rPr>
        <w:t>; בתחילת עדותה, היא הציגה בפירוט ובאופן חופשי את השתלשלות הדברים, בהתאם לזיכרונה לרבות בהתאם לתרשומת שערכה בפגישה מקדימה לחתימת הצוואות שקיימה עם הנתבעת אשר הוצגה על ידה.</w:t>
      </w:r>
    </w:p>
    <w:p w:rsidR="002F765C" w:rsidRDefault="002F765C" w:rsidP="002F765C">
      <w:pPr>
        <w:pStyle w:val="ad"/>
        <w:rPr>
          <w:rFonts w:ascii="David" w:hAnsi="David" w:cs="David"/>
          <w:sz w:val="24"/>
          <w:szCs w:val="24"/>
        </w:rPr>
      </w:pPr>
    </w:p>
    <w:p w:rsidR="002F765C" w:rsidRDefault="002F765C" w:rsidP="00323E64">
      <w:pPr>
        <w:pStyle w:val="ad"/>
        <w:spacing w:line="360" w:lineRule="auto"/>
        <w:jc w:val="both"/>
        <w:rPr>
          <w:rFonts w:ascii="David" w:hAnsi="David" w:cs="David"/>
          <w:sz w:val="24"/>
          <w:szCs w:val="24"/>
          <w:rtl/>
        </w:rPr>
      </w:pPr>
      <w:r>
        <w:rPr>
          <w:rFonts w:ascii="David" w:hAnsi="David" w:cs="David"/>
          <w:sz w:val="24"/>
          <w:szCs w:val="24"/>
          <w:u w:val="single"/>
          <w:rtl/>
        </w:rPr>
        <w:t>מעדותה עולים בעיקרם הנתונים הבאים</w:t>
      </w:r>
      <w:r>
        <w:rPr>
          <w:rFonts w:ascii="David" w:hAnsi="David" w:cs="David"/>
          <w:sz w:val="24"/>
          <w:szCs w:val="24"/>
          <w:rtl/>
        </w:rPr>
        <w:t>: הצוואות נערכו על ידי עוה"ד ג</w:t>
      </w:r>
      <w:r w:rsidR="007F0237">
        <w:rPr>
          <w:rFonts w:ascii="David" w:hAnsi="David" w:cs="David" w:hint="cs"/>
          <w:sz w:val="24"/>
          <w:szCs w:val="24"/>
          <w:rtl/>
        </w:rPr>
        <w:t>'</w:t>
      </w:r>
      <w:r>
        <w:rPr>
          <w:rFonts w:ascii="David" w:hAnsi="David" w:cs="David"/>
          <w:sz w:val="24"/>
          <w:szCs w:val="24"/>
          <w:rtl/>
        </w:rPr>
        <w:t xml:space="preserve"> לאחר קיומה של פגישה מקדימה שנערכה עם הנתבעת עצמה, טרם פגישת החתימות, ופרטי הצוואה ניתנו על ידי הנתבעת; היתה הכרות מוקדמת, בין היתר, מאחר ובתם של הנתבעים עבדה במשרדה במשך תקופה. בפגישה זו ערכה עוה"ד ג</w:t>
      </w:r>
      <w:r w:rsidR="00294F5C">
        <w:rPr>
          <w:rFonts w:ascii="David" w:hAnsi="David" w:cs="David" w:hint="cs"/>
          <w:sz w:val="24"/>
          <w:szCs w:val="24"/>
          <w:rtl/>
        </w:rPr>
        <w:t>'</w:t>
      </w:r>
      <w:r>
        <w:rPr>
          <w:rFonts w:ascii="David" w:hAnsi="David" w:cs="David"/>
          <w:sz w:val="24"/>
          <w:szCs w:val="24"/>
          <w:rtl/>
        </w:rPr>
        <w:t>, כאמור, תרשומת ידנית של עיקרי הפרטים שנמסרו לה ע"י הנתבעת, וכך גם מסרה הנתבעת לפקידתה של עוה"ד ג</w:t>
      </w:r>
      <w:r w:rsidR="00323E64">
        <w:rPr>
          <w:rFonts w:ascii="David" w:hAnsi="David" w:cs="David" w:hint="cs"/>
          <w:sz w:val="24"/>
          <w:szCs w:val="24"/>
          <w:rtl/>
        </w:rPr>
        <w:t xml:space="preserve">' </w:t>
      </w:r>
      <w:r>
        <w:rPr>
          <w:rFonts w:ascii="David" w:hAnsi="David" w:cs="David"/>
          <w:sz w:val="24"/>
          <w:szCs w:val="24"/>
          <w:rtl/>
        </w:rPr>
        <w:t xml:space="preserve">את פרטי תעודות הזהות; המדובר בשני דפים אשר הוצגו במהלך העדות והוגשו כמוצג לתיק בית המשפט, האחד עיקרי הפגישה עם הנתבעת בכתב ידה של עוה"ד </w:t>
      </w:r>
      <w:r w:rsidR="00323E64">
        <w:rPr>
          <w:rFonts w:ascii="David" w:hAnsi="David" w:cs="David" w:hint="cs"/>
          <w:sz w:val="24"/>
          <w:szCs w:val="24"/>
          <w:rtl/>
        </w:rPr>
        <w:t>ג'</w:t>
      </w:r>
      <w:r>
        <w:rPr>
          <w:rFonts w:ascii="David" w:hAnsi="David" w:cs="David"/>
          <w:sz w:val="24"/>
          <w:szCs w:val="24"/>
          <w:rtl/>
        </w:rPr>
        <w:t xml:space="preserve"> (ע/ 1) והנוסף פרטי שלושת ילדיהם של הנתבעים שנכתבו בכתב ידה של פקידתה של עוה"ד ג</w:t>
      </w:r>
      <w:r w:rsidR="00323E64">
        <w:rPr>
          <w:rFonts w:ascii="David" w:hAnsi="David" w:cs="David" w:hint="cs"/>
          <w:sz w:val="24"/>
          <w:szCs w:val="24"/>
          <w:rtl/>
        </w:rPr>
        <w:t>'</w:t>
      </w:r>
      <w:r>
        <w:rPr>
          <w:rFonts w:ascii="David" w:hAnsi="David" w:cs="David"/>
          <w:sz w:val="24"/>
          <w:szCs w:val="24"/>
          <w:rtl/>
        </w:rPr>
        <w:t>, זאת מבלי להתעלם מכך שפקידה זו לא העידה בפניי, כהערת ב"כ הנתבעת (ע/2).</w:t>
      </w:r>
    </w:p>
    <w:p w:rsidR="002F765C" w:rsidRDefault="002F765C" w:rsidP="002F765C">
      <w:pPr>
        <w:pStyle w:val="ad"/>
        <w:rPr>
          <w:rFonts w:ascii="David" w:hAnsi="David" w:cs="David"/>
          <w:sz w:val="24"/>
          <w:szCs w:val="24"/>
          <w:rtl/>
        </w:rPr>
      </w:pPr>
    </w:p>
    <w:p w:rsidR="002F765C" w:rsidRDefault="002F765C" w:rsidP="002F765C">
      <w:pPr>
        <w:pStyle w:val="ad"/>
        <w:spacing w:line="360" w:lineRule="auto"/>
        <w:jc w:val="both"/>
        <w:rPr>
          <w:rFonts w:ascii="David" w:hAnsi="David" w:cs="David"/>
          <w:b/>
          <w:bCs/>
          <w:sz w:val="24"/>
          <w:szCs w:val="24"/>
          <w:rtl/>
        </w:rPr>
      </w:pPr>
      <w:r>
        <w:rPr>
          <w:rFonts w:ascii="David" w:hAnsi="David" w:cs="David"/>
          <w:b/>
          <w:bCs/>
          <w:sz w:val="24"/>
          <w:szCs w:val="24"/>
          <w:rtl/>
        </w:rPr>
        <w:t xml:space="preserve">לנוחות הדברים להלן המקטע מתוך ע/1, תוך שיוער, כי סכום תמורת מכר הדירה בסך 516,000 ₪ תואם את העובדה המוסכמת, בהתאם להצהרות ב"כ הצדדים בפרוט' מיום 31.10.22 ש' 23-30: </w:t>
      </w:r>
    </w:p>
    <w:p w:rsidR="002F765C" w:rsidRDefault="002F765C" w:rsidP="002F765C">
      <w:pPr>
        <w:pStyle w:val="ad"/>
        <w:spacing w:line="360" w:lineRule="auto"/>
        <w:jc w:val="center"/>
        <w:rPr>
          <w:rFonts w:ascii="David" w:hAnsi="David" w:cs="David"/>
          <w:b/>
          <w:bCs/>
          <w:sz w:val="24"/>
          <w:szCs w:val="24"/>
        </w:rPr>
      </w:pPr>
      <w:r>
        <w:rPr>
          <w:noProof/>
        </w:rPr>
        <w:drawing>
          <wp:inline distT="0" distB="0" distL="0" distR="0">
            <wp:extent cx="2941320" cy="932180"/>
            <wp:effectExtent l="0" t="0" r="0" b="127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1320" cy="932180"/>
                    </a:xfrm>
                    <a:prstGeom prst="rect">
                      <a:avLst/>
                    </a:prstGeom>
                    <a:noFill/>
                    <a:ln>
                      <a:noFill/>
                    </a:ln>
                  </pic:spPr>
                </pic:pic>
              </a:graphicData>
            </a:graphic>
          </wp:inline>
        </w:drawing>
      </w:r>
    </w:p>
    <w:p w:rsidR="002F765C" w:rsidRDefault="002F765C" w:rsidP="002F765C">
      <w:pPr>
        <w:pStyle w:val="ad"/>
        <w:spacing w:line="360" w:lineRule="auto"/>
        <w:jc w:val="both"/>
        <w:rPr>
          <w:rFonts w:ascii="David" w:hAnsi="David" w:cs="David"/>
          <w:b/>
          <w:bCs/>
          <w:sz w:val="24"/>
          <w:szCs w:val="24"/>
        </w:rPr>
      </w:pPr>
    </w:p>
    <w:p w:rsidR="002F765C" w:rsidRPr="00755B1E" w:rsidRDefault="002F765C" w:rsidP="00925E68">
      <w:pPr>
        <w:pStyle w:val="ad"/>
        <w:numPr>
          <w:ilvl w:val="0"/>
          <w:numId w:val="1"/>
        </w:numPr>
        <w:spacing w:line="360" w:lineRule="auto"/>
        <w:jc w:val="both"/>
        <w:rPr>
          <w:rFonts w:ascii="David" w:hAnsi="David" w:cs="David"/>
          <w:b/>
          <w:bCs/>
          <w:sz w:val="24"/>
          <w:szCs w:val="24"/>
        </w:rPr>
      </w:pPr>
      <w:r>
        <w:rPr>
          <w:rFonts w:ascii="David" w:hAnsi="David" w:cs="David"/>
          <w:sz w:val="24"/>
          <w:szCs w:val="24"/>
          <w:rtl/>
        </w:rPr>
        <w:lastRenderedPageBreak/>
        <w:t>בנוגע לתרשומת שערכה עוה"ד בכתב ידה הוסיפה בעדותה, כי שם נכתבו סכומים בהתאם לנתונים שנמסרו לה, ולפיהם ברצון הנתבעים היה לעגן בצוואה את העובדה כי התובע נתן להם 1/3 מערך הדירה שרכשו ועל כן ברצונם לאחר פטירתם יירש כל אחד מהם את משנהו ולאחר פטירת שניהם, יינתן לתובע תחילה  1/3 מערך הדירה שהם רכשו ולאחר מכן יירשו שלושת ילדיהם, ובהם התובעת, רעיית התובע, את היתרה בחלקים שווים:</w:t>
      </w:r>
      <w:r w:rsidR="00755B1E">
        <w:rPr>
          <w:rFonts w:ascii="David" w:hAnsi="David" w:cs="David" w:hint="cs"/>
          <w:sz w:val="24"/>
          <w:szCs w:val="24"/>
          <w:rtl/>
        </w:rPr>
        <w:t xml:space="preserve"> </w:t>
      </w:r>
      <w:r w:rsidRPr="00755B1E">
        <w:rPr>
          <w:rFonts w:ascii="David" w:hAnsi="David" w:cs="David"/>
          <w:b/>
          <w:bCs/>
          <w:rtl/>
        </w:rPr>
        <w:t xml:space="preserve">"לי היא </w:t>
      </w:r>
      <w:r w:rsidRPr="00755B1E">
        <w:rPr>
          <w:rFonts w:ascii="David" w:hAnsi="David" w:cs="David"/>
          <w:rtl/>
        </w:rPr>
        <w:t xml:space="preserve">(הנתבעת – ה.מ.ש) </w:t>
      </w:r>
      <w:r w:rsidRPr="00755B1E">
        <w:rPr>
          <w:rFonts w:ascii="David" w:hAnsi="David" w:cs="David"/>
          <w:b/>
          <w:bCs/>
          <w:rtl/>
        </w:rPr>
        <w:t xml:space="preserve">נתנה את הפרטים של </w:t>
      </w:r>
      <w:bookmarkStart w:id="2" w:name="_ETM_Q_150604"/>
      <w:bookmarkEnd w:id="2"/>
      <w:r w:rsidRPr="00755B1E">
        <w:rPr>
          <w:rFonts w:ascii="David" w:hAnsi="David" w:cs="David"/>
          <w:b/>
          <w:bCs/>
          <w:rtl/>
        </w:rPr>
        <w:t xml:space="preserve">מה שהיא רוצה שיהיה כתוב בצוואה. כמובן אחר כך כשהיא באה </w:t>
      </w:r>
      <w:bookmarkStart w:id="3" w:name="_ETM_Q_156949"/>
      <w:bookmarkEnd w:id="3"/>
      <w:r w:rsidRPr="00755B1E">
        <w:rPr>
          <w:rFonts w:ascii="David" w:hAnsi="David" w:cs="David"/>
          <w:b/>
          <w:bCs/>
          <w:rtl/>
        </w:rPr>
        <w:t xml:space="preserve">עם בעלה בדקנו את הדברים והכל היה, כל מה שהיה </w:t>
      </w:r>
      <w:bookmarkStart w:id="4" w:name="_ETM_Q_162828"/>
      <w:bookmarkEnd w:id="4"/>
      <w:r w:rsidRPr="00755B1E">
        <w:rPr>
          <w:rFonts w:ascii="David" w:hAnsi="David" w:cs="David"/>
          <w:b/>
          <w:bCs/>
          <w:rtl/>
        </w:rPr>
        <w:t xml:space="preserve">כתוב היה בהתאם לרצונם. עכשיו, היה לי בתיק, גברתי, תרשים </w:t>
      </w:r>
      <w:bookmarkStart w:id="5" w:name="_ETM_Q_169410"/>
      <w:bookmarkEnd w:id="5"/>
      <w:r w:rsidRPr="00755B1E">
        <w:rPr>
          <w:rFonts w:ascii="David" w:hAnsi="David" w:cs="David"/>
          <w:b/>
          <w:bCs/>
          <w:rtl/>
        </w:rPr>
        <w:t xml:space="preserve">שעשיתי בכתב יד של נתונים שהם נתנו לי. אני אראה </w:t>
      </w:r>
      <w:bookmarkStart w:id="6" w:name="_ETM_Q_174581"/>
      <w:bookmarkEnd w:id="6"/>
      <w:r w:rsidRPr="00755B1E">
        <w:rPr>
          <w:rFonts w:ascii="David" w:hAnsi="David" w:cs="David"/>
          <w:b/>
          <w:bCs/>
          <w:rtl/>
        </w:rPr>
        <w:t xml:space="preserve">את זה לחבריי. זה כתב היד שלי. ברשות בית המשפט </w:t>
      </w:r>
      <w:bookmarkStart w:id="7" w:name="_ETM_Q_201565"/>
      <w:bookmarkEnd w:id="7"/>
      <w:r w:rsidRPr="00755B1E">
        <w:rPr>
          <w:rFonts w:ascii="David" w:hAnsi="David" w:cs="David"/>
          <w:b/>
          <w:bCs/>
          <w:rtl/>
        </w:rPr>
        <w:t xml:space="preserve">אני גם אגיש את זה. זה כתב היד של הפקידה </w:t>
      </w:r>
      <w:bookmarkStart w:id="8" w:name="_ETM_Q_206738"/>
      <w:bookmarkEnd w:id="8"/>
      <w:r w:rsidRPr="00755B1E">
        <w:rPr>
          <w:rFonts w:ascii="David" w:hAnsi="David" w:cs="David"/>
          <w:b/>
          <w:bCs/>
          <w:rtl/>
        </w:rPr>
        <w:t xml:space="preserve">שלי ושיחה טלפונית עם הגב' </w:t>
      </w:r>
      <w:r w:rsidR="00E63DC0">
        <w:rPr>
          <w:rFonts w:ascii="David" w:hAnsi="David" w:cs="David" w:hint="cs"/>
          <w:b/>
          <w:bCs/>
          <w:rtl/>
        </w:rPr>
        <w:t xml:space="preserve">ש'. </w:t>
      </w:r>
      <w:r w:rsidR="00E63DC0">
        <w:rPr>
          <w:rFonts w:ascii="David" w:hAnsi="David" w:cs="David" w:hint="cs"/>
          <w:rtl/>
        </w:rPr>
        <w:t xml:space="preserve">(הנתבעת </w:t>
      </w:r>
      <w:r w:rsidR="00E63DC0">
        <w:rPr>
          <w:rFonts w:ascii="David" w:hAnsi="David" w:cs="David"/>
          <w:rtl/>
        </w:rPr>
        <w:t>–</w:t>
      </w:r>
      <w:r w:rsidR="00E63DC0">
        <w:rPr>
          <w:rFonts w:ascii="David" w:hAnsi="David" w:cs="David" w:hint="cs"/>
          <w:rtl/>
        </w:rPr>
        <w:t>ה.מ.ש)</w:t>
      </w:r>
      <w:r w:rsidRPr="00755B1E">
        <w:rPr>
          <w:rFonts w:ascii="David" w:hAnsi="David" w:cs="David"/>
          <w:b/>
          <w:bCs/>
          <w:rtl/>
        </w:rPr>
        <w:t xml:space="preserve"> זה כתב היד שלי </w:t>
      </w:r>
      <w:bookmarkStart w:id="9" w:name="_ETM_Q_210931"/>
      <w:bookmarkEnd w:id="9"/>
      <w:r w:rsidRPr="00755B1E">
        <w:rPr>
          <w:rFonts w:ascii="David" w:hAnsi="David" w:cs="David"/>
          <w:b/>
          <w:bCs/>
          <w:rtl/>
        </w:rPr>
        <w:t xml:space="preserve">בפגישה מקדימה לעריכת הצוואה. עכשיו, אם גברתי תראה, יש שם חישוב </w:t>
      </w:r>
      <w:bookmarkStart w:id="10" w:name="_ETM_Q_217513"/>
      <w:bookmarkEnd w:id="10"/>
      <w:r w:rsidRPr="00755B1E">
        <w:rPr>
          <w:rFonts w:ascii="David" w:hAnsi="David" w:cs="David"/>
          <w:b/>
          <w:bCs/>
          <w:rtl/>
        </w:rPr>
        <w:t xml:space="preserve">של ערך משולש למעלה של מספרים. לפי הנתונים שנמסרו </w:t>
      </w:r>
      <w:bookmarkStart w:id="11" w:name="_ETM_Q_226917"/>
      <w:bookmarkEnd w:id="11"/>
      <w:r w:rsidRPr="00755B1E">
        <w:rPr>
          <w:rFonts w:ascii="David" w:hAnsi="David" w:cs="David"/>
          <w:b/>
          <w:bCs/>
          <w:rtl/>
        </w:rPr>
        <w:t xml:space="preserve">לי, עלות הדירה שהם רכשו הייתה כמצוין למעלה נדמה לי </w:t>
      </w:r>
      <w:bookmarkStart w:id="12" w:name="_ETM_Q_235617"/>
      <w:bookmarkEnd w:id="12"/>
      <w:r w:rsidRPr="00755B1E">
        <w:rPr>
          <w:rFonts w:ascii="David" w:hAnsi="David" w:cs="David"/>
          <w:b/>
          <w:bCs/>
          <w:rtl/>
        </w:rPr>
        <w:t xml:space="preserve">516 אלף וסכום ההלוואה שהם קיבלו </w:t>
      </w:r>
      <w:r w:rsidR="00925E68">
        <w:rPr>
          <w:rFonts w:ascii="David" w:hAnsi="David" w:cs="David" w:hint="cs"/>
          <w:b/>
          <w:bCs/>
          <w:rtl/>
        </w:rPr>
        <w:t>מהתובע</w:t>
      </w:r>
      <w:r w:rsidRPr="00755B1E">
        <w:rPr>
          <w:rFonts w:ascii="David" w:hAnsi="David" w:cs="David"/>
          <w:b/>
          <w:bCs/>
          <w:rtl/>
        </w:rPr>
        <w:t xml:space="preserve"> זה הסכום </w:t>
      </w:r>
      <w:bookmarkStart w:id="13" w:name="_ETM_Q_241967"/>
      <w:bookmarkEnd w:id="13"/>
      <w:r w:rsidRPr="00755B1E">
        <w:rPr>
          <w:rFonts w:ascii="David" w:hAnsi="David" w:cs="David"/>
          <w:b/>
          <w:bCs/>
          <w:rtl/>
        </w:rPr>
        <w:t xml:space="preserve">שמתחת. </w:t>
      </w:r>
      <w:bookmarkStart w:id="14" w:name="_ETM_Q_245259"/>
      <w:bookmarkEnd w:id="14"/>
    </w:p>
    <w:p w:rsidR="002F765C" w:rsidRDefault="002F765C" w:rsidP="002F765C">
      <w:pPr>
        <w:pStyle w:val="af"/>
        <w:shd w:val="clear" w:color="auto" w:fill="auto"/>
        <w:spacing w:line="360" w:lineRule="auto"/>
        <w:ind w:left="720" w:firstLine="0"/>
        <w:jc w:val="both"/>
        <w:rPr>
          <w:rFonts w:ascii="David" w:hAnsi="David" w:cs="David"/>
          <w:szCs w:val="22"/>
          <w:u w:val="none"/>
          <w:rtl/>
        </w:rPr>
      </w:pPr>
      <w:r>
        <w:rPr>
          <w:rFonts w:ascii="David" w:hAnsi="David" w:cs="David"/>
          <w:szCs w:val="22"/>
          <w:u w:val="none"/>
          <w:rtl/>
        </w:rPr>
        <w:t>כב' הש' מלר שלו: 164,300?</w:t>
      </w:r>
      <w:bookmarkStart w:id="15" w:name="_ETM_Q_248315"/>
      <w:bookmarkEnd w:id="15"/>
      <w:r>
        <w:rPr>
          <w:rFonts w:ascii="David" w:hAnsi="David" w:cs="David"/>
          <w:szCs w:val="22"/>
          <w:rtl/>
        </w:rPr>
        <w:t xml:space="preserve"> </w:t>
      </w:r>
    </w:p>
    <w:p w:rsidR="002F765C" w:rsidRDefault="002F765C" w:rsidP="00F21DEB">
      <w:pPr>
        <w:pStyle w:val="af"/>
        <w:shd w:val="clear" w:color="auto" w:fill="auto"/>
        <w:spacing w:line="360" w:lineRule="auto"/>
        <w:ind w:left="720" w:firstLine="0"/>
        <w:jc w:val="both"/>
        <w:rPr>
          <w:rFonts w:ascii="David" w:hAnsi="David" w:cs="David"/>
          <w:b w:val="0"/>
          <w:bCs w:val="0"/>
          <w:sz w:val="24"/>
          <w:szCs w:val="24"/>
          <w:u w:val="none"/>
          <w:rtl/>
        </w:rPr>
      </w:pPr>
      <w:r>
        <w:rPr>
          <w:rFonts w:ascii="David" w:hAnsi="David" w:cs="David"/>
          <w:szCs w:val="22"/>
          <w:u w:val="none"/>
          <w:rtl/>
        </w:rPr>
        <w:t>העדה, עו"ד ג</w:t>
      </w:r>
      <w:r w:rsidR="00F21DEB">
        <w:rPr>
          <w:rFonts w:ascii="David" w:hAnsi="David" w:cs="David" w:hint="cs"/>
          <w:szCs w:val="22"/>
          <w:u w:val="none"/>
          <w:rtl/>
        </w:rPr>
        <w:t>'</w:t>
      </w:r>
      <w:r>
        <w:rPr>
          <w:rFonts w:ascii="David" w:hAnsi="David" w:cs="David"/>
          <w:szCs w:val="22"/>
          <w:u w:val="none"/>
          <w:rtl/>
        </w:rPr>
        <w:t xml:space="preserve">: כן, </w:t>
      </w:r>
      <w:r>
        <w:rPr>
          <w:rFonts w:ascii="David" w:hAnsi="David" w:cs="David"/>
          <w:szCs w:val="22"/>
          <w:rtl/>
        </w:rPr>
        <w:t xml:space="preserve">והם ביקשו שאני אכתוב זה כמעט שליש מעלות </w:t>
      </w:r>
      <w:bookmarkStart w:id="16" w:name="_ETM_Q_253958"/>
      <w:bookmarkEnd w:id="16"/>
      <w:r>
        <w:rPr>
          <w:rFonts w:ascii="David" w:hAnsi="David" w:cs="David"/>
          <w:szCs w:val="22"/>
          <w:rtl/>
        </w:rPr>
        <w:t xml:space="preserve">הדירה, אציין בצוואה שהוא נתן להם שליש מעלות הדירה החדשה </w:t>
      </w:r>
      <w:bookmarkStart w:id="17" w:name="_ETM_Q_261951"/>
      <w:bookmarkEnd w:id="17"/>
      <w:r>
        <w:rPr>
          <w:rFonts w:ascii="David" w:hAnsi="David" w:cs="David"/>
          <w:szCs w:val="22"/>
          <w:rtl/>
        </w:rPr>
        <w:t xml:space="preserve">שהם הולכים לקנות או שהם קנו והסכום הזה יוחזר לו </w:t>
      </w:r>
      <w:bookmarkStart w:id="18" w:name="_ETM_Q_271116"/>
      <w:bookmarkEnd w:id="18"/>
      <w:r>
        <w:rPr>
          <w:rFonts w:ascii="David" w:hAnsi="David" w:cs="David"/>
          <w:szCs w:val="22"/>
          <w:rtl/>
        </w:rPr>
        <w:t>משווי, שליש משווי דירה שהם קנו</w:t>
      </w:r>
      <w:r>
        <w:rPr>
          <w:rFonts w:ascii="David" w:hAnsi="David" w:cs="David"/>
          <w:szCs w:val="22"/>
          <w:u w:val="none"/>
          <w:rtl/>
        </w:rPr>
        <w:t xml:space="preserve">. כלומר למעשה הם הצמידו </w:t>
      </w:r>
      <w:bookmarkStart w:id="19" w:name="_ETM_Q_279346"/>
      <w:bookmarkEnd w:id="19"/>
      <w:r>
        <w:rPr>
          <w:rFonts w:ascii="David" w:hAnsi="David" w:cs="David"/>
          <w:szCs w:val="22"/>
          <w:u w:val="none"/>
          <w:rtl/>
        </w:rPr>
        <w:t xml:space="preserve">פה את ההלוואה לעלות שווי הדירה שהם קנו. עכשיו, מבחינת </w:t>
      </w:r>
      <w:bookmarkStart w:id="20" w:name="_ETM_Q_285459"/>
      <w:bookmarkEnd w:id="20"/>
      <w:r>
        <w:rPr>
          <w:rFonts w:ascii="David" w:hAnsi="David" w:cs="David"/>
          <w:szCs w:val="22"/>
          <w:u w:val="none"/>
          <w:rtl/>
        </w:rPr>
        <w:t xml:space="preserve">הצוואה, הצוואה פשוטה, לא מורכבת. אני לא יודעת אם הציגו </w:t>
      </w:r>
      <w:bookmarkStart w:id="21" w:name="_ETM_Q_294159"/>
      <w:bookmarkEnd w:id="21"/>
      <w:r>
        <w:rPr>
          <w:rFonts w:ascii="David" w:hAnsi="David" w:cs="David"/>
          <w:szCs w:val="22"/>
          <w:u w:val="none"/>
          <w:rtl/>
        </w:rPr>
        <w:t xml:space="preserve">בפני גברתי את הצוואות, יש את הצוואות? אז הכל באווירה </w:t>
      </w:r>
      <w:bookmarkStart w:id="22" w:name="_ETM_Q_300975"/>
      <w:bookmarkEnd w:id="22"/>
      <w:r>
        <w:rPr>
          <w:rFonts w:ascii="David" w:hAnsi="David" w:cs="David"/>
          <w:szCs w:val="22"/>
          <w:u w:val="none"/>
          <w:rtl/>
        </w:rPr>
        <w:t xml:space="preserve">טובה, ברצון ומתוך הכרת תודה שהם קיבלו פה סכום משמעותי </w:t>
      </w:r>
      <w:bookmarkStart w:id="23" w:name="_ETM_Q_310143"/>
      <w:bookmarkEnd w:id="23"/>
      <w:r>
        <w:rPr>
          <w:rFonts w:ascii="David" w:hAnsi="David" w:cs="David"/>
          <w:szCs w:val="22"/>
          <w:u w:val="none"/>
          <w:rtl/>
        </w:rPr>
        <w:t xml:space="preserve">שאיפשר להם לדבריהם לקנות דירה. </w:t>
      </w:r>
      <w:r>
        <w:rPr>
          <w:rFonts w:ascii="David" w:hAnsi="David" w:cs="David"/>
          <w:szCs w:val="22"/>
          <w:rtl/>
        </w:rPr>
        <w:t xml:space="preserve">הם ידעו בדיוק מה הם </w:t>
      </w:r>
      <w:bookmarkStart w:id="24" w:name="_ETM_Q_318843"/>
      <w:bookmarkEnd w:id="24"/>
      <w:r>
        <w:rPr>
          <w:rFonts w:ascii="David" w:hAnsi="David" w:cs="David"/>
          <w:szCs w:val="22"/>
          <w:rtl/>
        </w:rPr>
        <w:t>כותבים ומה הם רוצים. הם נתנו את הנתונים</w:t>
      </w:r>
      <w:r>
        <w:rPr>
          <w:rFonts w:ascii="David" w:hAnsi="David" w:cs="David"/>
          <w:szCs w:val="22"/>
          <w:u w:val="none"/>
          <w:rtl/>
        </w:rPr>
        <w:t xml:space="preserve">. הצוואה הייתה </w:t>
      </w:r>
      <w:bookmarkStart w:id="25" w:name="_ETM_Q_324956"/>
      <w:bookmarkEnd w:id="25"/>
      <w:r>
        <w:rPr>
          <w:rFonts w:ascii="David" w:hAnsi="David" w:cs="David"/>
          <w:szCs w:val="22"/>
          <w:u w:val="none"/>
          <w:rtl/>
        </w:rPr>
        <w:t xml:space="preserve">לשביעות רצונם, נחתמה ובזה נגמר התפקיד שלי" </w:t>
      </w:r>
      <w:r w:rsidR="00274FA7">
        <w:rPr>
          <w:rFonts w:ascii="David" w:hAnsi="David" w:cs="David" w:hint="cs"/>
          <w:b w:val="0"/>
          <w:bCs w:val="0"/>
          <w:szCs w:val="22"/>
          <w:u w:val="none"/>
          <w:rtl/>
        </w:rPr>
        <w:t xml:space="preserve">        </w:t>
      </w:r>
      <w:r w:rsidR="00274FA7">
        <w:rPr>
          <w:rFonts w:ascii="David" w:hAnsi="David" w:cs="David"/>
          <w:b w:val="0"/>
          <w:bCs w:val="0"/>
          <w:szCs w:val="22"/>
          <w:u w:val="none"/>
          <w:rtl/>
        </w:rPr>
        <w:br/>
      </w:r>
      <w:r w:rsidR="00274FA7">
        <w:rPr>
          <w:rFonts w:ascii="David" w:hAnsi="David" w:cs="David" w:hint="cs"/>
          <w:b w:val="0"/>
          <w:bCs w:val="0"/>
          <w:szCs w:val="22"/>
          <w:u w:val="none"/>
          <w:rtl/>
        </w:rPr>
        <w:t xml:space="preserve">                                                                                           </w:t>
      </w:r>
      <w:r>
        <w:rPr>
          <w:rFonts w:ascii="David" w:hAnsi="David" w:cs="David"/>
          <w:b w:val="0"/>
          <w:bCs w:val="0"/>
          <w:szCs w:val="22"/>
          <w:u w:val="none"/>
          <w:rtl/>
        </w:rPr>
        <w:t>(עמ' 8 לפרוט' ש' 9-22; הדגשות לא במקור).</w:t>
      </w:r>
    </w:p>
    <w:p w:rsidR="002F765C" w:rsidRDefault="002F765C" w:rsidP="002F765C">
      <w:pPr>
        <w:pStyle w:val="ad"/>
        <w:spacing w:line="360" w:lineRule="auto"/>
        <w:jc w:val="both"/>
        <w:rPr>
          <w:rFonts w:ascii="David" w:hAnsi="David" w:cs="David"/>
          <w:b/>
          <w:bCs/>
          <w:sz w:val="24"/>
          <w:szCs w:val="24"/>
        </w:rPr>
      </w:pPr>
    </w:p>
    <w:p w:rsidR="002F765C" w:rsidRDefault="002F765C" w:rsidP="009452DA">
      <w:pPr>
        <w:pStyle w:val="ad"/>
        <w:numPr>
          <w:ilvl w:val="0"/>
          <w:numId w:val="1"/>
        </w:numPr>
        <w:spacing w:line="360" w:lineRule="auto"/>
        <w:jc w:val="both"/>
        <w:rPr>
          <w:rFonts w:ascii="David" w:hAnsi="David" w:cs="David"/>
          <w:b/>
          <w:bCs/>
          <w:sz w:val="24"/>
          <w:szCs w:val="24"/>
        </w:rPr>
      </w:pPr>
      <w:r>
        <w:rPr>
          <w:rFonts w:ascii="David" w:hAnsi="David" w:cs="David"/>
          <w:sz w:val="24"/>
          <w:szCs w:val="24"/>
          <w:rtl/>
        </w:rPr>
        <w:t>במענה לשאלת ב"כ הנתבעים, המתבקשת מטבע הדברים, בנוגע לקיומו של זיכרון פוזיטיבי של עוה"ד ג</w:t>
      </w:r>
      <w:r w:rsidR="00CB62B5">
        <w:rPr>
          <w:rFonts w:ascii="David" w:hAnsi="David" w:cs="David" w:hint="cs"/>
          <w:sz w:val="24"/>
          <w:szCs w:val="24"/>
          <w:rtl/>
        </w:rPr>
        <w:t>'</w:t>
      </w:r>
      <w:r>
        <w:rPr>
          <w:rFonts w:ascii="David" w:hAnsi="David" w:cs="David"/>
          <w:sz w:val="24"/>
          <w:szCs w:val="24"/>
          <w:rtl/>
        </w:rPr>
        <w:t xml:space="preserve"> אודות פרטי המקרה בראי חלוף הזמן מני אז, השיבה עוה"ד ג</w:t>
      </w:r>
      <w:r w:rsidR="00CB62B5">
        <w:rPr>
          <w:rFonts w:ascii="David" w:hAnsi="David" w:cs="David" w:hint="cs"/>
          <w:sz w:val="24"/>
          <w:szCs w:val="24"/>
          <w:rtl/>
        </w:rPr>
        <w:t>'</w:t>
      </w:r>
      <w:r>
        <w:rPr>
          <w:rFonts w:ascii="David" w:hAnsi="David" w:cs="David"/>
          <w:sz w:val="24"/>
          <w:szCs w:val="24"/>
          <w:rtl/>
        </w:rPr>
        <w:t>, כי פרטי המקרה זכורים לה היטב, בין היתר, בשים לב להכרות המוקדמת עם בתה של הנתבעת כמו גם בשל אופן התנהלותה של הנתבעת כ</w:t>
      </w:r>
      <w:r>
        <w:rPr>
          <w:rFonts w:ascii="David" w:hAnsi="David" w:cs="David"/>
          <w:b/>
          <w:bCs/>
          <w:sz w:val="24"/>
          <w:szCs w:val="24"/>
          <w:rtl/>
        </w:rPr>
        <w:t xml:space="preserve">אשה דעתנית אשר נטלה חלק פעיל בתהליך </w:t>
      </w:r>
      <w:r>
        <w:rPr>
          <w:rFonts w:ascii="David" w:hAnsi="David" w:cs="David"/>
          <w:sz w:val="24"/>
          <w:szCs w:val="24"/>
          <w:rtl/>
        </w:rPr>
        <w:t xml:space="preserve">(עמ' 10 לפרוט' ש' 5-10; הדגשות לא במקור); וכפי שהוסיפה בהמשך: </w:t>
      </w:r>
      <w:r>
        <w:rPr>
          <w:rFonts w:ascii="David" w:hAnsi="David" w:cs="David"/>
          <w:b/>
          <w:bCs/>
          <w:sz w:val="20"/>
          <w:szCs w:val="20"/>
          <w:rtl/>
        </w:rPr>
        <w:t xml:space="preserve">"מי שמכיר את הגב' </w:t>
      </w:r>
      <w:r w:rsidR="009452DA">
        <w:rPr>
          <w:rFonts w:ascii="David" w:hAnsi="David" w:cs="David" w:hint="cs"/>
          <w:b/>
          <w:bCs/>
          <w:sz w:val="20"/>
          <w:szCs w:val="20"/>
          <w:rtl/>
        </w:rPr>
        <w:t xml:space="preserve">ש' </w:t>
      </w:r>
      <w:r w:rsidR="009452DA">
        <w:rPr>
          <w:rFonts w:ascii="David" w:hAnsi="David" w:cs="David" w:hint="cs"/>
          <w:sz w:val="20"/>
          <w:szCs w:val="20"/>
          <w:rtl/>
        </w:rPr>
        <w:t xml:space="preserve">(הנתבעת-ה.מ.ש) </w:t>
      </w:r>
      <w:r>
        <w:rPr>
          <w:rFonts w:ascii="David" w:hAnsi="David" w:cs="David"/>
          <w:b/>
          <w:bCs/>
          <w:sz w:val="20"/>
          <w:szCs w:val="20"/>
          <w:rtl/>
        </w:rPr>
        <w:t xml:space="preserve">יודע </w:t>
      </w:r>
      <w:bookmarkStart w:id="26" w:name="_ETM_Q_718619"/>
      <w:bookmarkEnd w:id="26"/>
      <w:r>
        <w:rPr>
          <w:rFonts w:ascii="David" w:hAnsi="David" w:cs="David"/>
          <w:b/>
          <w:bCs/>
          <w:sz w:val="20"/>
          <w:szCs w:val="20"/>
          <w:rtl/>
        </w:rPr>
        <w:t xml:space="preserve">שהיא בחיים לא תחתום על משהו שמישהו אחר יגיד והיא </w:t>
      </w:r>
      <w:bookmarkStart w:id="27" w:name="_ETM_Q_723553"/>
      <w:bookmarkEnd w:id="27"/>
      <w:r>
        <w:rPr>
          <w:rFonts w:ascii="David" w:hAnsi="David" w:cs="David"/>
          <w:b/>
          <w:bCs/>
          <w:sz w:val="20"/>
          <w:szCs w:val="20"/>
          <w:rtl/>
        </w:rPr>
        <w:t xml:space="preserve">לא קוראת והיא לא יודעת. </w:t>
      </w:r>
      <w:r>
        <w:rPr>
          <w:rFonts w:ascii="David" w:hAnsi="David" w:cs="David"/>
          <w:b/>
          <w:bCs/>
          <w:sz w:val="20"/>
          <w:szCs w:val="20"/>
          <w:u w:val="single"/>
          <w:rtl/>
        </w:rPr>
        <w:t xml:space="preserve">אישה מאוד מעורה, מאוד דעתנית. </w:t>
      </w:r>
      <w:bookmarkStart w:id="28" w:name="_ETM_Q_729434"/>
      <w:bookmarkEnd w:id="28"/>
      <w:r>
        <w:rPr>
          <w:rFonts w:ascii="David" w:hAnsi="David" w:cs="David"/>
          <w:b/>
          <w:bCs/>
          <w:sz w:val="20"/>
          <w:szCs w:val="20"/>
          <w:u w:val="single"/>
          <w:rtl/>
        </w:rPr>
        <w:t>יודעת בדיוק מה היא רוצה.</w:t>
      </w:r>
      <w:r>
        <w:rPr>
          <w:rFonts w:ascii="David" w:hAnsi="David" w:cs="David"/>
          <w:b/>
          <w:bCs/>
          <w:sz w:val="20"/>
          <w:szCs w:val="20"/>
          <w:rtl/>
        </w:rPr>
        <w:t xml:space="preserve"> אני לא יודעת מה היום </w:t>
      </w:r>
      <w:bookmarkStart w:id="29" w:name="_ETM_Q_729863"/>
      <w:bookmarkEnd w:id="29"/>
      <w:r>
        <w:rPr>
          <w:rFonts w:ascii="David" w:hAnsi="David" w:cs="David"/>
          <w:b/>
          <w:bCs/>
          <w:sz w:val="20"/>
          <w:szCs w:val="20"/>
          <w:rtl/>
        </w:rPr>
        <w:t xml:space="preserve">אבל אז בוודאי ידעה מה היא רוצה. בדקה כל דבר. </w:t>
      </w:r>
      <w:bookmarkStart w:id="30" w:name="_ETM_Q_734800"/>
      <w:bookmarkEnd w:id="30"/>
      <w:r>
        <w:rPr>
          <w:rFonts w:ascii="David" w:hAnsi="David" w:cs="David"/>
          <w:b/>
          <w:bCs/>
          <w:sz w:val="20"/>
          <w:szCs w:val="20"/>
          <w:rtl/>
        </w:rPr>
        <w:t xml:space="preserve">הרעיון של הצוואה היה שלהם, מבחינתי לפחות, ובא להבטיח שמחזירים </w:t>
      </w:r>
      <w:bookmarkStart w:id="31" w:name="_ETM_Q_744911"/>
      <w:bookmarkEnd w:id="31"/>
      <w:r>
        <w:rPr>
          <w:rFonts w:ascii="David" w:hAnsi="David" w:cs="David"/>
          <w:b/>
          <w:bCs/>
          <w:sz w:val="20"/>
          <w:szCs w:val="20"/>
          <w:rtl/>
        </w:rPr>
        <w:t>את הכסף קודם כל למי שנתן להם"</w:t>
      </w:r>
      <w:r>
        <w:rPr>
          <w:rFonts w:ascii="David" w:hAnsi="David" w:cs="David"/>
          <w:rtl/>
        </w:rPr>
        <w:t xml:space="preserve"> (עמ' 12 לפרוט', ש' 9-12, הדגשה לא במקור); למען הסדר הטוב ומשציינה הנתבעת בעדותה כי היא כבת 79 שנים (עמ' 24 ש' 33), אזי במועד החתימה על הצוואות היתה כבת 63 שנים.</w:t>
      </w:r>
    </w:p>
    <w:p w:rsidR="002F765C" w:rsidRDefault="002F765C" w:rsidP="002F765C">
      <w:pPr>
        <w:pStyle w:val="ad"/>
        <w:spacing w:line="360" w:lineRule="auto"/>
        <w:jc w:val="both"/>
        <w:rPr>
          <w:rFonts w:ascii="David" w:hAnsi="David" w:cs="David"/>
          <w:b/>
          <w:bCs/>
          <w:sz w:val="24"/>
          <w:szCs w:val="24"/>
        </w:rPr>
      </w:pPr>
    </w:p>
    <w:p w:rsidR="002F765C" w:rsidRDefault="002F765C" w:rsidP="002F765C">
      <w:pPr>
        <w:pStyle w:val="ad"/>
        <w:numPr>
          <w:ilvl w:val="0"/>
          <w:numId w:val="1"/>
        </w:numPr>
        <w:spacing w:line="360" w:lineRule="auto"/>
        <w:jc w:val="both"/>
        <w:rPr>
          <w:rFonts w:ascii="David" w:hAnsi="David" w:cs="David"/>
          <w:b/>
          <w:bCs/>
          <w:sz w:val="24"/>
          <w:szCs w:val="24"/>
        </w:rPr>
      </w:pPr>
      <w:r>
        <w:rPr>
          <w:rFonts w:ascii="David" w:hAnsi="David" w:cs="David"/>
          <w:sz w:val="24"/>
          <w:szCs w:val="24"/>
          <w:rtl/>
        </w:rPr>
        <w:t>את תשובתה, לרבות בראי התרשמותי הבלתי אמצעית מאופן התנהלות הנתבעת בגדרי ההליך, מצאתי כמהימנה, באופן המוסיף נדבך של משקל נוסף לעדותה.</w:t>
      </w:r>
    </w:p>
    <w:p w:rsidR="00E95B29" w:rsidRPr="00E95B29" w:rsidRDefault="00E95B29" w:rsidP="00E95B29">
      <w:pPr>
        <w:pStyle w:val="ad"/>
        <w:rPr>
          <w:rFonts w:ascii="David" w:hAnsi="David" w:cs="David"/>
          <w:b/>
          <w:bCs/>
          <w:sz w:val="24"/>
          <w:szCs w:val="24"/>
          <w:rtl/>
        </w:rPr>
      </w:pPr>
    </w:p>
    <w:p w:rsidR="002F765C" w:rsidRDefault="002F765C" w:rsidP="002F765C">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במענה לשאלת ב"כ הנתבעים אודות הפער הנטען על ידם בין תמורת מכר דירתם הקודמת של הנתבעים לבין עלות הדירה שנרכשה תחתיה – בזיקה לסכום ההלוואה- השיבה כי הגם שאת המספרים לא זכרה אזי זכרה את </w:t>
      </w:r>
      <w:r>
        <w:rPr>
          <w:rFonts w:ascii="David" w:hAnsi="David" w:cs="David"/>
          <w:b/>
          <w:bCs/>
          <w:rtl/>
        </w:rPr>
        <w:t xml:space="preserve">"עצם זה שהם </w:t>
      </w:r>
      <w:r>
        <w:rPr>
          <w:rFonts w:ascii="David" w:hAnsi="David" w:cs="David"/>
          <w:rtl/>
        </w:rPr>
        <w:t xml:space="preserve">(הנתבעים – ה.מ.ש) </w:t>
      </w:r>
      <w:r>
        <w:rPr>
          <w:rFonts w:ascii="David" w:hAnsi="David" w:cs="David"/>
          <w:b/>
          <w:bCs/>
          <w:rtl/>
        </w:rPr>
        <w:t xml:space="preserve">היו </w:t>
      </w:r>
      <w:r>
        <w:rPr>
          <w:rFonts w:ascii="David" w:hAnsi="David" w:cs="David"/>
          <w:b/>
          <w:bCs/>
          <w:u w:val="single"/>
          <w:rtl/>
        </w:rPr>
        <w:t>והיא</w:t>
      </w:r>
      <w:r>
        <w:rPr>
          <w:rFonts w:ascii="David" w:hAnsi="David" w:cs="David"/>
          <w:u w:val="single"/>
          <w:rtl/>
        </w:rPr>
        <w:t xml:space="preserve"> </w:t>
      </w:r>
      <w:r>
        <w:rPr>
          <w:rFonts w:ascii="David" w:hAnsi="David" w:cs="David"/>
          <w:rtl/>
        </w:rPr>
        <w:t>(הנתבעת – ה.מ.ש)</w:t>
      </w:r>
      <w:r>
        <w:rPr>
          <w:rFonts w:ascii="David" w:hAnsi="David" w:cs="David"/>
          <w:b/>
          <w:bCs/>
          <w:rtl/>
        </w:rPr>
        <w:t xml:space="preserve"> זאת</w:t>
      </w:r>
      <w:r>
        <w:rPr>
          <w:rFonts w:ascii="David" w:hAnsi="David" w:cs="David"/>
          <w:rtl/>
        </w:rPr>
        <w:t xml:space="preserve"> </w:t>
      </w:r>
      <w:r>
        <w:rPr>
          <w:rFonts w:ascii="David" w:hAnsi="David" w:cs="David"/>
          <w:b/>
          <w:bCs/>
          <w:u w:val="single"/>
          <w:rtl/>
        </w:rPr>
        <w:t xml:space="preserve">שהייתה </w:t>
      </w:r>
      <w:bookmarkStart w:id="32" w:name="_ETM_Q_489696"/>
      <w:bookmarkEnd w:id="32"/>
      <w:r>
        <w:rPr>
          <w:rFonts w:ascii="David" w:hAnsi="David" w:cs="David"/>
          <w:b/>
          <w:bCs/>
          <w:u w:val="single"/>
          <w:rtl/>
        </w:rPr>
        <w:t>הרוח החיה</w:t>
      </w:r>
      <w:r>
        <w:rPr>
          <w:rFonts w:ascii="David" w:hAnsi="David" w:cs="David"/>
          <w:b/>
          <w:bCs/>
          <w:rtl/>
        </w:rPr>
        <w:t xml:space="preserve"> והיא זאת שכתבה והיא צלצלה ודיברה עם הפקידה </w:t>
      </w:r>
      <w:bookmarkStart w:id="33" w:name="_ETM_Q_496041"/>
      <w:bookmarkEnd w:id="33"/>
      <w:r>
        <w:rPr>
          <w:rFonts w:ascii="David" w:hAnsi="David" w:cs="David"/>
          <w:b/>
          <w:bCs/>
          <w:rtl/>
        </w:rPr>
        <w:t xml:space="preserve">ודיברה איתי </w:t>
      </w:r>
      <w:r>
        <w:rPr>
          <w:rFonts w:ascii="David" w:hAnsi="David" w:cs="David"/>
          <w:b/>
          <w:bCs/>
          <w:u w:val="single"/>
          <w:rtl/>
        </w:rPr>
        <w:t>והם בדקו את הכל</w:t>
      </w:r>
      <w:r>
        <w:rPr>
          <w:rFonts w:ascii="David" w:hAnsi="David" w:cs="David"/>
          <w:b/>
          <w:bCs/>
          <w:rtl/>
        </w:rPr>
        <w:t>"</w:t>
      </w:r>
      <w:r>
        <w:rPr>
          <w:rFonts w:ascii="David" w:hAnsi="David" w:cs="David"/>
          <w:b/>
          <w:bCs/>
          <w:sz w:val="24"/>
          <w:szCs w:val="24"/>
          <w:rtl/>
        </w:rPr>
        <w:t xml:space="preserve"> </w:t>
      </w:r>
      <w:r>
        <w:rPr>
          <w:rFonts w:ascii="David" w:hAnsi="David" w:cs="David"/>
          <w:sz w:val="24"/>
          <w:szCs w:val="24"/>
          <w:rtl/>
        </w:rPr>
        <w:t>(עמ' 10 לפרוט' ש' 18-20, הדגשות לא במקור); בכך כאמור תמכה התרשומת שהוגשה כע/1, כאמור לעיל.</w:t>
      </w:r>
    </w:p>
    <w:p w:rsidR="002F765C" w:rsidRDefault="002F765C" w:rsidP="002F765C">
      <w:pPr>
        <w:pStyle w:val="ad"/>
        <w:rPr>
          <w:rFonts w:ascii="David" w:hAnsi="David" w:cs="David"/>
          <w:b/>
          <w:bCs/>
          <w:sz w:val="24"/>
          <w:szCs w:val="24"/>
        </w:rPr>
      </w:pPr>
    </w:p>
    <w:p w:rsidR="002F765C" w:rsidRDefault="002F765C" w:rsidP="005D6084">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לא נעלמה מעיני העובדה, לפיה היה זה התובע שנשא בשכר הטרחה בגין עריכת הצוואות; עובדה שאף אושרה בגילוי מלא על ידי עוה"ד ג</w:t>
      </w:r>
      <w:r w:rsidR="005D6084">
        <w:rPr>
          <w:rFonts w:ascii="David" w:hAnsi="David" w:cs="David" w:hint="cs"/>
          <w:sz w:val="24"/>
          <w:szCs w:val="24"/>
          <w:rtl/>
        </w:rPr>
        <w:t>'</w:t>
      </w:r>
      <w:r>
        <w:rPr>
          <w:rFonts w:ascii="David" w:hAnsi="David" w:cs="David"/>
          <w:sz w:val="24"/>
          <w:szCs w:val="24"/>
          <w:rtl/>
        </w:rPr>
        <w:t xml:space="preserve"> בעדותה, שהוסיפה, כי דבר זה לא איין מהיות תוכנן של הצוואות משקף את רצון הנתבעים, כפי שהובע מפורשות על ידי הנתבעת בפניה (ר' בעמ' 10, ש' 27-32 לפרוט'); ברם, לא מצאתי בכך כדי לאיין את תוכן עדותה, זאת ביתר שאת בהינתן הכרותה עם הצדדים, באופן שבו בתם של הנתבעים (אחותה של התובעת) עבדה במספרה במשך תקופה וכן כי אביו של התובע יוצג על ידה.</w:t>
      </w:r>
    </w:p>
    <w:p w:rsidR="002F765C" w:rsidRDefault="002F765C" w:rsidP="002F765C">
      <w:pPr>
        <w:pStyle w:val="ad"/>
        <w:rPr>
          <w:rFonts w:ascii="David" w:hAnsi="David" w:cs="David"/>
          <w:b/>
          <w:bCs/>
          <w:sz w:val="24"/>
          <w:szCs w:val="24"/>
        </w:rPr>
      </w:pPr>
    </w:p>
    <w:p w:rsidR="002F765C" w:rsidRDefault="002F765C" w:rsidP="002F765C">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הנתבעת עצמה בעדותה אישרה כי התובעים שילמו את הסכום התשלום האחרון לדירה, כאשר בעדותה, לא הצליחה הנתבעת לספק הסבר מניח את הדעת לאופן הסדרת שלושת התשלומים האחרונים של הדירה שנרכשה על ידם</w:t>
      </w:r>
      <w:r>
        <w:rPr>
          <w:rFonts w:ascii="David" w:hAnsi="David" w:cs="David"/>
          <w:sz w:val="24"/>
          <w:szCs w:val="24"/>
          <w:rtl/>
        </w:rPr>
        <w:t xml:space="preserve"> (בשיעור משמעותי של כ-130,00 ₪  ביחס למחיר הדירה); זאת על רקע העובדה, שדומה כי לא נטענה ע"י הנתבעים כל טענה לקבלת עזרה נוספת ברכישה מכל גורם אחר, זולת התובעים (ר' בעמ' 24 ש' 1-15); כך גם הודתה בעדותה, כי המסמכים שצורפו על ידה מאששים חוסר הלימה בין מועד הסכום שהיא טוענת שהושב על ידה לתובעים - 11,000 ₪ בינואר 2001, לעומת מסמכי הבנק שהוצגו לה מהם עולה, כי מועד התשלום שבגינו לכאורה נעשתה ההחזרה על ידה, אשר היה 21.3.2001; קרי מועד </w:t>
      </w:r>
      <w:r>
        <w:rPr>
          <w:rFonts w:ascii="David" w:hAnsi="David" w:cs="David"/>
          <w:sz w:val="24"/>
          <w:szCs w:val="24"/>
          <w:u w:val="single"/>
          <w:rtl/>
        </w:rPr>
        <w:t>מאוחר</w:t>
      </w:r>
      <w:r>
        <w:rPr>
          <w:rFonts w:ascii="David" w:hAnsi="David" w:cs="David"/>
          <w:sz w:val="24"/>
          <w:szCs w:val="24"/>
          <w:rtl/>
        </w:rPr>
        <w:t xml:space="preserve"> (ר' עמ' 24 לפרוט' ש' 16-33).</w:t>
      </w:r>
    </w:p>
    <w:p w:rsidR="002F765C" w:rsidRDefault="002F765C" w:rsidP="002F765C">
      <w:pPr>
        <w:pStyle w:val="ad"/>
        <w:rPr>
          <w:rFonts w:ascii="David" w:hAnsi="David" w:cs="David"/>
          <w:sz w:val="24"/>
          <w:szCs w:val="24"/>
        </w:rPr>
      </w:pPr>
    </w:p>
    <w:p w:rsidR="002F765C" w:rsidRDefault="002F765C" w:rsidP="002F765C">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בזהירות המתחייבת מכבודה של הנתבעת, אציין כי לא מצאתי את עדותה כמהימנה עליי; מעבר לגרסה המתפתחת והמשתנה שהוצגה על ידה בכתבי הטענות, קיים קושי ליישב במכלול הנסיבות לרבות אופן ההתרשמות הימנה טענה כביכול היא חתמה על צוואות שתוכנן היה שלא על דעתה.</w:t>
      </w:r>
    </w:p>
    <w:p w:rsidR="002F765C" w:rsidRDefault="002F765C" w:rsidP="002F765C">
      <w:pPr>
        <w:pStyle w:val="ad"/>
        <w:rPr>
          <w:rFonts w:ascii="David" w:hAnsi="David" w:cs="David"/>
          <w:sz w:val="24"/>
          <w:szCs w:val="24"/>
        </w:rPr>
      </w:pPr>
    </w:p>
    <w:p w:rsidR="002F765C" w:rsidRDefault="002F765C" w:rsidP="002F765C">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לא נעלמה מעיני עובדת קיומו של פער נומינלי בין סכום ההלוואה שצוין בכתב התביעה </w:t>
      </w:r>
      <w:r>
        <w:rPr>
          <w:rFonts w:ascii="Arial" w:hAnsi="Arial" w:cs="David"/>
          <w:sz w:val="24"/>
          <w:szCs w:val="24"/>
          <w:rtl/>
        </w:rPr>
        <w:t>(147,000 ₪) לבין סכום ההלוואה שצוין בתצהיר התובע (172,000 ₪); ברם מצאתי את ההסבר שניתן לכך בתצהירו כמו גם בעדותו של התובע, אשר היתה ברורה ושאותה מצאתי מהימנה עליי, כמתיישב עם מכלול הנסיבות, כמו גם עם הרציונל של שיעור ההחזר שהוסכם על הצדדים להלוואה.</w:t>
      </w:r>
    </w:p>
    <w:p w:rsidR="002F765C" w:rsidRDefault="002F765C" w:rsidP="002F765C">
      <w:pPr>
        <w:pStyle w:val="ad"/>
        <w:spacing w:line="360" w:lineRule="auto"/>
        <w:jc w:val="both"/>
        <w:rPr>
          <w:rFonts w:ascii="David" w:hAnsi="David" w:cs="David"/>
          <w:b/>
          <w:bCs/>
          <w:i/>
          <w:iCs/>
          <w:sz w:val="24"/>
          <w:szCs w:val="24"/>
        </w:rPr>
      </w:pPr>
    </w:p>
    <w:p w:rsidR="002F765C" w:rsidRDefault="002F765C" w:rsidP="002F765C">
      <w:pPr>
        <w:pStyle w:val="ad"/>
        <w:numPr>
          <w:ilvl w:val="0"/>
          <w:numId w:val="1"/>
        </w:numPr>
        <w:spacing w:line="360" w:lineRule="auto"/>
        <w:jc w:val="both"/>
        <w:rPr>
          <w:rFonts w:ascii="David" w:hAnsi="David" w:cs="David"/>
          <w:b/>
          <w:bCs/>
          <w:i/>
          <w:iCs/>
          <w:sz w:val="24"/>
          <w:szCs w:val="24"/>
        </w:rPr>
      </w:pPr>
      <w:r>
        <w:rPr>
          <w:rFonts w:ascii="David" w:hAnsi="David" w:cs="David"/>
          <w:b/>
          <w:bCs/>
          <w:sz w:val="24"/>
          <w:szCs w:val="24"/>
          <w:rtl/>
        </w:rPr>
        <w:lastRenderedPageBreak/>
        <w:t>בהקשר זה יודגש, כי הוראות הצוואות ההדדיות, לרבות הדרך שבה גובשו ונחתמו על ידי הנתבעים נבחנים במסגרת ההליך דנא אך ורק כראיות ליסודות ההלוואה ששוקללה בין הצדדים, בדגש על היקף הסכום שניתן כמו גם היקף ההחזר שנקבע, ולא בראי דיני ירושה ועזבון</w:t>
      </w:r>
      <w:r>
        <w:rPr>
          <w:rFonts w:ascii="David" w:hAnsi="David" w:cs="David"/>
          <w:sz w:val="24"/>
          <w:szCs w:val="24"/>
          <w:rtl/>
        </w:rPr>
        <w:t>; כך שאין בכך כדי להשיג על טענות הנתבעת בנדון, לרבות בעניין חופש הציווי. בהתאם וכאמור לעיל אין חולק, כי הנתבעים, ולמצער הנתבע המנוח, אכן שינו את צוואתם וכי צוואתו קוימה ללא כל התנגדות מצד התובעים.</w:t>
      </w:r>
      <w:r>
        <w:rPr>
          <w:rFonts w:ascii="David" w:hAnsi="David" w:cs="David"/>
          <w:b/>
          <w:bCs/>
          <w:i/>
          <w:iCs/>
          <w:sz w:val="24"/>
          <w:szCs w:val="24"/>
          <w:rtl/>
        </w:rPr>
        <w:t xml:space="preserve"> </w:t>
      </w:r>
    </w:p>
    <w:p w:rsidR="002F765C" w:rsidRDefault="002F765C" w:rsidP="002F765C">
      <w:pPr>
        <w:pStyle w:val="ad"/>
        <w:spacing w:line="360" w:lineRule="auto"/>
        <w:jc w:val="both"/>
        <w:rPr>
          <w:rFonts w:ascii="David" w:hAnsi="David" w:cs="David"/>
          <w:b/>
          <w:bCs/>
          <w:sz w:val="24"/>
          <w:szCs w:val="24"/>
          <w:rtl/>
        </w:rPr>
      </w:pPr>
    </w:p>
    <w:p w:rsidR="002F765C" w:rsidRDefault="002F765C" w:rsidP="002F765C">
      <w:pPr>
        <w:pStyle w:val="ad"/>
        <w:numPr>
          <w:ilvl w:val="0"/>
          <w:numId w:val="1"/>
        </w:numPr>
        <w:spacing w:line="360" w:lineRule="auto"/>
        <w:jc w:val="both"/>
        <w:rPr>
          <w:rFonts w:ascii="David" w:hAnsi="David" w:cs="David"/>
          <w:sz w:val="24"/>
          <w:szCs w:val="24"/>
        </w:rPr>
      </w:pPr>
      <w:r>
        <w:rPr>
          <w:rFonts w:ascii="David" w:hAnsi="David" w:cs="David"/>
          <w:sz w:val="24"/>
          <w:szCs w:val="24"/>
          <w:rtl/>
        </w:rPr>
        <w:t>אשר על כן ובהינתן כלל המקובץ לעיל, מצאתי לקבל את התביעה הכספית שהגישו התובעים בסך של 450,000 ₪; אשר למועד התשלום, אזי בהינתן הסכמת הצדדים בראי הצעת התובעים (המבורכת), ישולם סכום זה בהתאם למתווה שהוצע ע"י התובעים במסגרת הדיון שנערך לפני, כמצוין ברישא פסק הדין (ר' בעמ' 32 לפרוט', ש' 13-18), כאשר מסורים לנתבעת בריאות שלמה ומלאה; כך גם ולאור הסכמות הצדדים (לעיל) אין מונע הגשת פסיקתא בדבר רישום הערת אזהרה בהתאם על הדירה.</w:t>
      </w:r>
    </w:p>
    <w:p w:rsidR="002F765C" w:rsidRDefault="002F765C" w:rsidP="002F765C">
      <w:pPr>
        <w:pStyle w:val="ad"/>
        <w:rPr>
          <w:rFonts w:ascii="David" w:hAnsi="David" w:cs="David"/>
          <w:sz w:val="24"/>
          <w:szCs w:val="24"/>
        </w:rPr>
      </w:pPr>
    </w:p>
    <w:p w:rsidR="002F765C" w:rsidRDefault="002F765C" w:rsidP="0047452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בהינתן תוצאת ההליך, וקביעת תקנות סדר הדין האזרחי בנדון, מצאתי להורות כי הנתבעים יישאו </w:t>
      </w:r>
      <w:r w:rsidR="0047452D">
        <w:rPr>
          <w:rFonts w:ascii="David" w:hAnsi="David" w:cs="David" w:hint="cs"/>
          <w:sz w:val="24"/>
          <w:szCs w:val="24"/>
          <w:rtl/>
        </w:rPr>
        <w:t xml:space="preserve">בהוצאות משפט </w:t>
      </w:r>
      <w:r>
        <w:rPr>
          <w:rFonts w:ascii="David" w:hAnsi="David" w:cs="David"/>
          <w:sz w:val="24"/>
          <w:szCs w:val="24"/>
          <w:rtl/>
        </w:rPr>
        <w:t>ב</w:t>
      </w:r>
      <w:r w:rsidR="0047452D">
        <w:rPr>
          <w:rFonts w:ascii="David" w:hAnsi="David" w:cs="David"/>
          <w:sz w:val="24"/>
          <w:szCs w:val="24"/>
          <w:rtl/>
        </w:rPr>
        <w:t>סך של 18,000 ₪</w:t>
      </w:r>
      <w:r w:rsidR="00570299">
        <w:rPr>
          <w:rFonts w:ascii="David" w:hAnsi="David" w:cs="David" w:hint="cs"/>
          <w:sz w:val="24"/>
          <w:szCs w:val="24"/>
          <w:rtl/>
        </w:rPr>
        <w:t xml:space="preserve"> אשר ישולמו לידי התובעים בתוך 30 יום.</w:t>
      </w:r>
    </w:p>
    <w:p w:rsidR="002F765C" w:rsidRDefault="002F765C" w:rsidP="002F765C">
      <w:pPr>
        <w:pStyle w:val="ad"/>
        <w:rPr>
          <w:rFonts w:ascii="David" w:hAnsi="David" w:cs="David"/>
          <w:sz w:val="24"/>
          <w:szCs w:val="24"/>
        </w:rPr>
      </w:pPr>
    </w:p>
    <w:p w:rsidR="002F765C" w:rsidRDefault="002F765C" w:rsidP="00196AB1">
      <w:pPr>
        <w:pStyle w:val="ad"/>
        <w:numPr>
          <w:ilvl w:val="0"/>
          <w:numId w:val="1"/>
        </w:numPr>
        <w:spacing w:line="360" w:lineRule="auto"/>
        <w:jc w:val="both"/>
        <w:rPr>
          <w:rFonts w:ascii="David" w:hAnsi="David" w:cs="David"/>
          <w:sz w:val="24"/>
          <w:szCs w:val="24"/>
          <w:rtl/>
        </w:rPr>
      </w:pPr>
      <w:r>
        <w:rPr>
          <w:rFonts w:ascii="David" w:hAnsi="David" w:cs="David"/>
          <w:sz w:val="24"/>
          <w:szCs w:val="24"/>
          <w:rtl/>
        </w:rPr>
        <w:t>בשים לב לכאב</w:t>
      </w:r>
      <w:r w:rsidR="00196AB1">
        <w:rPr>
          <w:rFonts w:ascii="David" w:hAnsi="David" w:cs="David" w:hint="cs"/>
          <w:sz w:val="24"/>
          <w:szCs w:val="24"/>
          <w:rtl/>
        </w:rPr>
        <w:t>ם של</w:t>
      </w:r>
      <w:r>
        <w:rPr>
          <w:rFonts w:ascii="David" w:hAnsi="David" w:cs="David"/>
          <w:sz w:val="24"/>
          <w:szCs w:val="24"/>
          <w:rtl/>
        </w:rPr>
        <w:t xml:space="preserve"> הצדדים </w:t>
      </w:r>
      <w:r w:rsidR="00196AB1">
        <w:rPr>
          <w:rFonts w:ascii="David" w:hAnsi="David" w:cs="David" w:hint="cs"/>
          <w:sz w:val="24"/>
          <w:szCs w:val="24"/>
          <w:rtl/>
        </w:rPr>
        <w:t xml:space="preserve">מחמת </w:t>
      </w:r>
      <w:r>
        <w:rPr>
          <w:rFonts w:ascii="David" w:hAnsi="David" w:cs="David"/>
          <w:sz w:val="24"/>
          <w:szCs w:val="24"/>
          <w:rtl/>
        </w:rPr>
        <w:t xml:space="preserve">הקרע שנוצר ביניהם, הוצעו להם מרוצת ניהול ההליך הצעות שונות שעניינן סיוע בשיקום היחסים, לרבות על דרך הפנייתם ליחידת הסיוע; צר לי כי הדבר לא הסתייע; ברם עודני סבורה, כי טוב יעשו הצדדים, לרבות בראיית הנכדים, אם יישקלו זאת בשנית, ואולי אף </w:t>
      </w:r>
      <w:r w:rsidR="00196AB1">
        <w:rPr>
          <w:rFonts w:ascii="David" w:hAnsi="David" w:cs="David" w:hint="cs"/>
          <w:sz w:val="24"/>
          <w:szCs w:val="24"/>
          <w:rtl/>
        </w:rPr>
        <w:t xml:space="preserve">ישקלו להסתייע </w:t>
      </w:r>
      <w:r>
        <w:rPr>
          <w:rFonts w:ascii="David" w:hAnsi="David" w:cs="David"/>
          <w:sz w:val="24"/>
          <w:szCs w:val="24"/>
          <w:rtl/>
        </w:rPr>
        <w:t>בסכום ההוצאות לצורך כך.</w:t>
      </w:r>
    </w:p>
    <w:p w:rsidR="007977C9" w:rsidRDefault="007977C9" w:rsidP="007977C9">
      <w:pPr>
        <w:rPr>
          <w:rFonts w:ascii="David" w:hAnsi="David"/>
          <w:rtl/>
        </w:rPr>
      </w:pPr>
    </w:p>
    <w:p w:rsidR="002F765C" w:rsidRDefault="002F765C" w:rsidP="007977C9">
      <w:pPr>
        <w:rPr>
          <w:rFonts w:ascii="David" w:hAnsi="David"/>
        </w:rPr>
      </w:pPr>
      <w:r>
        <w:rPr>
          <w:rFonts w:ascii="David" w:hAnsi="David"/>
          <w:rtl/>
        </w:rPr>
        <w:t>פסק הדין יהא מותר בפרסום לאחר השלמת תהליך התממה להשמטת פרטים מזהים.</w:t>
      </w:r>
    </w:p>
    <w:p w:rsidR="007977C9" w:rsidRDefault="007977C9" w:rsidP="002F765C">
      <w:pPr>
        <w:spacing w:line="360" w:lineRule="auto"/>
        <w:jc w:val="both"/>
        <w:rPr>
          <w:rFonts w:ascii="David" w:hAnsi="David"/>
          <w:b/>
          <w:bCs/>
          <w:u w:val="single"/>
          <w:rtl/>
        </w:rPr>
      </w:pPr>
    </w:p>
    <w:p w:rsidR="002F765C" w:rsidRDefault="002F765C" w:rsidP="002F765C">
      <w:pPr>
        <w:spacing w:line="360" w:lineRule="auto"/>
        <w:jc w:val="both"/>
        <w:rPr>
          <w:rFonts w:ascii="David" w:hAnsi="David"/>
          <w:b/>
          <w:bCs/>
          <w:u w:val="single"/>
          <w:rtl/>
        </w:rPr>
      </w:pPr>
      <w:r>
        <w:rPr>
          <w:rFonts w:ascii="David" w:hAnsi="David"/>
          <w:b/>
          <w:bCs/>
          <w:u w:val="single"/>
          <w:rtl/>
        </w:rPr>
        <w:t>המזכירות תמציא את פסק הדין לצדדים ותסגור את התיק</w:t>
      </w:r>
      <w:r w:rsidRPr="00AC0116">
        <w:rPr>
          <w:rFonts w:ascii="David" w:hAnsi="David"/>
          <w:rtl/>
        </w:rPr>
        <w:t>.</w:t>
      </w:r>
    </w:p>
    <w:p w:rsidR="00A17314" w:rsidRDefault="00A17314">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12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22053" w:rsidP="00633C4F">
      <w:pPr>
        <w:spacing w:line="360" w:lineRule="auto"/>
        <w:ind w:left="3600" w:firstLine="720"/>
      </w:pPr>
      <w:sdt>
        <w:sdtPr>
          <w:rPr>
            <w:rtl/>
          </w:rPr>
          <w:alias w:val="MergeField"/>
          <w:tag w:val="1237"/>
          <w:id w:val="693039119"/>
        </w:sdtPr>
        <w:sdtEndPr/>
        <w:sdtContent>
          <w:r w:rsidR="008163C5">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343025" cy="9620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7"/>
      <w:headerReference w:type="default" r:id="rId18"/>
      <w:footerReference w:type="even" r:id="rId19"/>
      <w:footerReference w:type="default" r:id="rId20"/>
      <w:headerReference w:type="first" r:id="rId21"/>
      <w:footerReference w:type="first" r:id="rId2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053" w:rsidRDefault="00E22053">
      <w:r>
        <w:separator/>
      </w:r>
    </w:p>
  </w:endnote>
  <w:endnote w:type="continuationSeparator" w:id="0">
    <w:p w:rsidR="00E22053" w:rsidRDefault="00E2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289" w:rsidRDefault="00E9328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9328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93289">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289" w:rsidRDefault="00E9328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053" w:rsidRDefault="00E22053">
      <w:r>
        <w:separator/>
      </w:r>
    </w:p>
  </w:footnote>
  <w:footnote w:type="continuationSeparator" w:id="0">
    <w:p w:rsidR="00E22053" w:rsidRDefault="00E22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289" w:rsidRDefault="00E9328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22053" w:rsidP="00905A29">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34" w:name="_GoBack"/>
          <w:sdt>
            <w:sdtPr>
              <w:rPr>
                <w:b/>
                <w:bCs/>
                <w:noProof w:val="0"/>
                <w:sz w:val="26"/>
                <w:szCs w:val="26"/>
                <w:rtl/>
              </w:rPr>
              <w:alias w:val="1171"/>
              <w:tag w:val="1171"/>
              <w:id w:val="81650337"/>
              <w:text w:multiLine="1"/>
            </w:sdtPr>
            <w:sdtEndPr/>
            <w:sdtContent>
              <w:r w:rsidR="00FB3C14">
                <w:rPr>
                  <w:b/>
                  <w:bCs/>
                  <w:noProof w:val="0"/>
                  <w:sz w:val="26"/>
                  <w:szCs w:val="26"/>
                  <w:rtl/>
                </w:rPr>
                <w:t>34023-11-21</w:t>
              </w:r>
            </w:sdtContent>
          </w:sdt>
          <w:bookmarkEnd w:id="34"/>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905A29">
                <w:rPr>
                  <w:rFonts w:hint="cs"/>
                  <w:b/>
                  <w:bCs/>
                  <w:noProof w:val="0"/>
                  <w:sz w:val="26"/>
                  <w:szCs w:val="26"/>
                  <w:rtl/>
                </w:rPr>
                <w:t>פ'</w:t>
              </w:r>
              <w:r w:rsidR="00FB3C14">
                <w:rPr>
                  <w:b/>
                  <w:bCs/>
                  <w:noProof w:val="0"/>
                  <w:sz w:val="26"/>
                  <w:szCs w:val="26"/>
                  <w:rtl/>
                </w:rPr>
                <w:t xml:space="preserve"> ואח' נ' </w:t>
              </w:r>
              <w:r w:rsidR="00905A29">
                <w:rPr>
                  <w:rFonts w:hint="cs"/>
                  <w:b/>
                  <w:bCs/>
                  <w:noProof w:val="0"/>
                  <w:sz w:val="26"/>
                  <w:szCs w:val="26"/>
                  <w:rtl/>
                </w:rPr>
                <w:t>ש'</w:t>
              </w:r>
              <w:r w:rsidR="00FB3C14">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E22053">
          <w:pPr>
            <w:rPr>
              <w:b/>
              <w:bCs/>
              <w:noProof w:val="0"/>
              <w:sz w:val="26"/>
              <w:szCs w:val="26"/>
              <w:rtl/>
            </w:rPr>
          </w:pP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289" w:rsidRDefault="00E932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C7E40"/>
    <w:multiLevelType w:val="hybridMultilevel"/>
    <w:tmpl w:val="6E32DC90"/>
    <w:lvl w:ilvl="0" w:tplc="5E4294F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0D05272"/>
    <w:multiLevelType w:val="hybridMultilevel"/>
    <w:tmpl w:val="CBE2346A"/>
    <w:lvl w:ilvl="0" w:tplc="7E1C9E2E">
      <w:start w:val="1"/>
      <w:numFmt w:val="hebrew1"/>
      <w:lvlText w:val="%1."/>
      <w:lvlJc w:val="left"/>
      <w:pPr>
        <w:ind w:left="1080" w:hanging="360"/>
      </w:pPr>
      <w:rPr>
        <w:b w:val="0"/>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73916083"/>
    <w:multiLevelType w:val="hybridMultilevel"/>
    <w:tmpl w:val="2878DB3E"/>
    <w:lvl w:ilvl="0" w:tplc="F0325D4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7EB947E9"/>
    <w:multiLevelType w:val="hybridMultilevel"/>
    <w:tmpl w:val="43743C42"/>
    <w:lvl w:ilvl="0" w:tplc="15DACF04">
      <w:start w:val="1"/>
      <w:numFmt w:val="hebrew1"/>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9596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95964&amp;lt;/CaseID&amp;gt;_x000d__x000a_        &amp;lt;CaseMonth&amp;gt;11&amp;lt;/CaseMonth&amp;gt;_x000d__x000a_        &amp;lt;CaseYear&amp;gt;2021&amp;lt;/CaseYear&amp;gt;_x000d__x000a_        &amp;lt;CaseNumber&amp;gt;34023&amp;lt;/CaseNumber&amp;gt;_x000d__x000a_        &amp;lt;NumeratorGroupID&amp;gt;1&amp;lt;/NumeratorGroupID&amp;gt;_x000d__x000a_        &amp;lt;CaseName&amp;gt;קסלר ואח&amp;#39; נ&amp;#39; פרנקל ואח&amp;#39;&amp;lt;/CaseName&amp;gt;_x000d__x000a_        &amp;lt;CourtID&amp;gt;35&amp;lt;/CourtID&amp;gt;_x000d__x000a_        &amp;lt;CaseTypeID&amp;gt;15&amp;lt;/CaseTypeID&amp;gt;_x000d__x000a_        &amp;lt;CaseInterestID&amp;gt;10115&amp;lt;/CaseInterestID&amp;gt;_x000d__x000a_        &amp;lt;CaseJudgeName&amp;gt;הילה מלר-שלו&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34023-11-21&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1-15T08:59: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95964&amp;lt;/CaseID&amp;gt;_x000d__x000a_        &amp;lt;CaseMonth&amp;gt;11&amp;lt;/CaseMonth&amp;gt;_x000d__x000a_        &amp;lt;CaseYear&amp;gt;2021&amp;lt;/CaseYear&amp;gt;_x000d__x000a_        &amp;lt;CaseNumber&amp;gt;34023&amp;lt;/CaseNumber&amp;gt;_x000d__x000a_        &amp;lt;NumeratorGroupID&amp;gt;1&amp;lt;/NumeratorGroupID&amp;gt;_x000d__x000a_        &amp;lt;CaseName&amp;gt;קסלר ואח&amp;#39; נ&amp;#39; פרנקל ואח&amp;#39;&amp;lt;/CaseName&amp;gt;_x000d__x000a_        &amp;lt;CourtID&amp;gt;35&amp;lt;/CourtID&amp;gt;_x000d__x000a_        &amp;lt;CaseTypeID&amp;gt;15&amp;lt;/CaseTypeID&amp;gt;_x000d__x000a_        &amp;lt;CaseInterestID&amp;gt;10115&amp;lt;/CaseInterestID&amp;gt;_x000d__x000a_        &amp;lt;CaseJudgeName&amp;gt;הילה מלר-שלו&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34023-11-21&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1-11-15T08:59: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91820&amp;lt;/DecisionID&amp;gt;_x000d__x000a_        &amp;lt;DecisionName&amp;gt;פסק דין  שניתנה ע&amp;quot;י  הילה מלר-שלו&amp;lt;/DecisionName&amp;gt;_x000d__x000a_        &amp;lt;DecisionStatusID&amp;gt;1&amp;lt;/DecisionStatusID&amp;gt;_x000d__x000a_        &amp;lt;DecisionStatusChangeDate&amp;gt;2024-08-12T09:57:02.28+03:00&amp;lt;/DecisionStatusChangeDate&amp;gt;_x000d__x000a_        &amp;lt;DecisionSignatureDate&amp;gt;2024-08-12T09:51:51.21+03:00&amp;lt;/DecisionSignatureDate&amp;gt;_x000d__x000a_        &amp;lt;DecisionSignatureUserID&amp;gt;027453133@GOV.IL&amp;lt;/DecisionSignatureUserID&amp;gt;_x000d__x000a_        &amp;lt;DecisionCreateDate&amp;gt;2024-08-12T09:54:31.333+03:00&amp;lt;/DecisionCreateDate&amp;gt;_x000d__x000a_        &amp;lt;DecisionChangeDate&amp;gt;2024-08-12T09:57:02.423+03:00&amp;lt;/DecisionChangeDate&amp;gt;_x000d__x000a_        &amp;lt;DecisionChangeUserID&amp;gt;0274531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52310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453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453133@GOV.IL&amp;lt;/DecisionCreationUserID&amp;gt;_x000d__x000a_        &amp;lt;DecisionDisplayName&amp;gt;פסק דין  שניתנה ע&amp;quot;י  הילה מלר-שלו&amp;lt;/DecisionDisplayName&amp;gt;_x000d__x000a_        &amp;lt;IsScanned&amp;gt;false&amp;lt;/IsScanned&amp;gt;_x000d__x000a_        &amp;lt;DecisionSignatureUserName&amp;gt;הילה מלר-של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4391820&amp;lt;/DecisionID&amp;gt;_x000d__x000a_        &amp;lt;CaseID&amp;gt;78795964&amp;lt;/CaseID&amp;gt;_x000d__x000a_        &amp;lt;IsOriginal&amp;gt;true&amp;lt;/IsOriginal&amp;gt;_x000d__x000a_        &amp;lt;IsDeleted&amp;gt;false&amp;lt;/IsDeleted&amp;gt;_x000d__x000a_        &amp;lt;CaseName&amp;gt;קסלר ואח&amp;#39; נ&amp;#39; פרנקל ואח&amp;#39;&amp;lt;/CaseName&amp;gt;_x000d__x000a_        &amp;lt;CaseDisplayIdentifier&amp;gt;34023-11-21 תמ&amp;quot;ש&amp;lt;/CaseDisplayIdentifier&amp;gt;_x000d__x000a_      &amp;lt;/dt_DecisionCase&amp;gt;_x000d__x000a_    &amp;lt;/DecisionDS&amp;gt;_x000d__x000a_  &amp;lt;/diffgr:diffgram&amp;gt;_x000d__x000a_&amp;lt;/DecisionDS&amp;gt;"/>
    <w:docVar w:name="DecisionID" w:val="154391820"/>
    <w:docVar w:name="WordClientAssemblyName" w:val="NGCS.Decision.ClientWordBL"/>
    <w:docVar w:name="WordClientClassName" w:val="NGCS.Decision.ClientWordBL.DecisionClient"/>
  </w:docVars>
  <w:rsids>
    <w:rsidRoot w:val="00694556"/>
    <w:rsid w:val="00005C8B"/>
    <w:rsid w:val="000146C2"/>
    <w:rsid w:val="00016C35"/>
    <w:rsid w:val="000258FD"/>
    <w:rsid w:val="00050021"/>
    <w:rsid w:val="000564AB"/>
    <w:rsid w:val="000A35BC"/>
    <w:rsid w:val="000B7A6C"/>
    <w:rsid w:val="000D1EF5"/>
    <w:rsid w:val="000D4A02"/>
    <w:rsid w:val="001072A9"/>
    <w:rsid w:val="00121F97"/>
    <w:rsid w:val="00123871"/>
    <w:rsid w:val="001277D7"/>
    <w:rsid w:val="0013163F"/>
    <w:rsid w:val="00132017"/>
    <w:rsid w:val="00135511"/>
    <w:rsid w:val="0014234E"/>
    <w:rsid w:val="00145A87"/>
    <w:rsid w:val="00151B2B"/>
    <w:rsid w:val="001846CD"/>
    <w:rsid w:val="00196AB1"/>
    <w:rsid w:val="001C4003"/>
    <w:rsid w:val="001F5474"/>
    <w:rsid w:val="002352F7"/>
    <w:rsid w:val="00256010"/>
    <w:rsid w:val="0027277D"/>
    <w:rsid w:val="00274FA7"/>
    <w:rsid w:val="00294F5C"/>
    <w:rsid w:val="002F765C"/>
    <w:rsid w:val="00323E64"/>
    <w:rsid w:val="00347EA7"/>
    <w:rsid w:val="00381D3A"/>
    <w:rsid w:val="003823DA"/>
    <w:rsid w:val="0043595F"/>
    <w:rsid w:val="0047452D"/>
    <w:rsid w:val="0047645A"/>
    <w:rsid w:val="004D49A3"/>
    <w:rsid w:val="004D50AC"/>
    <w:rsid w:val="004E1938"/>
    <w:rsid w:val="004E6E3C"/>
    <w:rsid w:val="005124F1"/>
    <w:rsid w:val="00513E69"/>
    <w:rsid w:val="00530BAD"/>
    <w:rsid w:val="00541598"/>
    <w:rsid w:val="00547DB7"/>
    <w:rsid w:val="00567324"/>
    <w:rsid w:val="00570299"/>
    <w:rsid w:val="00592125"/>
    <w:rsid w:val="005B0F49"/>
    <w:rsid w:val="005C7EC6"/>
    <w:rsid w:val="005D4BDB"/>
    <w:rsid w:val="005D6084"/>
    <w:rsid w:val="005D6D81"/>
    <w:rsid w:val="0061343E"/>
    <w:rsid w:val="00621611"/>
    <w:rsid w:val="00622BAA"/>
    <w:rsid w:val="00625C89"/>
    <w:rsid w:val="00633C4F"/>
    <w:rsid w:val="00645F6E"/>
    <w:rsid w:val="00671BD5"/>
    <w:rsid w:val="00674C58"/>
    <w:rsid w:val="006805C1"/>
    <w:rsid w:val="006816EC"/>
    <w:rsid w:val="00694556"/>
    <w:rsid w:val="006E1A53"/>
    <w:rsid w:val="007056AA"/>
    <w:rsid w:val="0073193F"/>
    <w:rsid w:val="00744F41"/>
    <w:rsid w:val="00755B1E"/>
    <w:rsid w:val="007866AB"/>
    <w:rsid w:val="007977C9"/>
    <w:rsid w:val="007A24FE"/>
    <w:rsid w:val="007A35AA"/>
    <w:rsid w:val="007B4BD2"/>
    <w:rsid w:val="007F0237"/>
    <w:rsid w:val="007F1048"/>
    <w:rsid w:val="008163C5"/>
    <w:rsid w:val="00820005"/>
    <w:rsid w:val="008300DC"/>
    <w:rsid w:val="00846D27"/>
    <w:rsid w:val="00860DCE"/>
    <w:rsid w:val="008610A7"/>
    <w:rsid w:val="008E1332"/>
    <w:rsid w:val="00903896"/>
    <w:rsid w:val="00905A29"/>
    <w:rsid w:val="0091189D"/>
    <w:rsid w:val="00925E68"/>
    <w:rsid w:val="00927813"/>
    <w:rsid w:val="00944D13"/>
    <w:rsid w:val="009452DA"/>
    <w:rsid w:val="00957C90"/>
    <w:rsid w:val="009B08F0"/>
    <w:rsid w:val="009B70F6"/>
    <w:rsid w:val="009C358E"/>
    <w:rsid w:val="009E0263"/>
    <w:rsid w:val="00A051C8"/>
    <w:rsid w:val="00A17314"/>
    <w:rsid w:val="00A21254"/>
    <w:rsid w:val="00A267CF"/>
    <w:rsid w:val="00A342BD"/>
    <w:rsid w:val="00A3615D"/>
    <w:rsid w:val="00A43458"/>
    <w:rsid w:val="00A654EA"/>
    <w:rsid w:val="00AC0116"/>
    <w:rsid w:val="00AC4E19"/>
    <w:rsid w:val="00AF1ED6"/>
    <w:rsid w:val="00B32C61"/>
    <w:rsid w:val="00B368FE"/>
    <w:rsid w:val="00B3798D"/>
    <w:rsid w:val="00B627BD"/>
    <w:rsid w:val="00B80CBD"/>
    <w:rsid w:val="00BC3369"/>
    <w:rsid w:val="00BF77EE"/>
    <w:rsid w:val="00C32E0F"/>
    <w:rsid w:val="00C42BF9"/>
    <w:rsid w:val="00C5339F"/>
    <w:rsid w:val="00C547FC"/>
    <w:rsid w:val="00C71CE1"/>
    <w:rsid w:val="00C83E56"/>
    <w:rsid w:val="00CB62B5"/>
    <w:rsid w:val="00CC12D4"/>
    <w:rsid w:val="00CC63CE"/>
    <w:rsid w:val="00CD2897"/>
    <w:rsid w:val="00CF5134"/>
    <w:rsid w:val="00D319B3"/>
    <w:rsid w:val="00D36A71"/>
    <w:rsid w:val="00D53924"/>
    <w:rsid w:val="00D60849"/>
    <w:rsid w:val="00D7121A"/>
    <w:rsid w:val="00D96D8C"/>
    <w:rsid w:val="00DA755B"/>
    <w:rsid w:val="00DD337E"/>
    <w:rsid w:val="00E00B6F"/>
    <w:rsid w:val="00E22053"/>
    <w:rsid w:val="00E44DDF"/>
    <w:rsid w:val="00E54642"/>
    <w:rsid w:val="00E63DC0"/>
    <w:rsid w:val="00E93289"/>
    <w:rsid w:val="00E95B29"/>
    <w:rsid w:val="00E97908"/>
    <w:rsid w:val="00EC6A08"/>
    <w:rsid w:val="00EF3ED0"/>
    <w:rsid w:val="00F17E56"/>
    <w:rsid w:val="00F21DEB"/>
    <w:rsid w:val="00F22B62"/>
    <w:rsid w:val="00F53EBB"/>
    <w:rsid w:val="00F848AC"/>
    <w:rsid w:val="00F91D3D"/>
    <w:rsid w:val="00FB3C14"/>
    <w:rsid w:val="00FE716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F765C"/>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ae">
    <w:name w:val="תואר תו"/>
    <w:link w:val="af"/>
    <w:locked/>
    <w:rsid w:val="002F765C"/>
    <w:rPr>
      <w:b/>
      <w:bCs/>
      <w:szCs w:val="28"/>
      <w:u w:val="single"/>
      <w:shd w:val="pct20" w:color="auto" w:fill="FFFFFF"/>
      <w:lang w:eastAsia="he-IL"/>
    </w:rPr>
  </w:style>
  <w:style w:type="paragraph" w:customStyle="1" w:styleId="af">
    <w:name w:val="תואר"/>
    <w:basedOn w:val="a"/>
    <w:link w:val="ae"/>
    <w:qFormat/>
    <w:rsid w:val="002F765C"/>
    <w:pPr>
      <w:shd w:val="pct20" w:color="auto" w:fill="FFFFFF"/>
      <w:spacing w:line="480" w:lineRule="auto"/>
      <w:ind w:left="1701" w:hanging="1701"/>
      <w:jc w:val="center"/>
    </w:pPr>
    <w:rPr>
      <w:rFonts w:cs="Times New Roman"/>
      <w:b/>
      <w:bCs/>
      <w:noProof w:val="0"/>
      <w:sz w:val="20"/>
      <w:szCs w:val="28"/>
      <w:u w:val="single"/>
      <w:lang w:eastAsia="he-IL"/>
    </w:rPr>
  </w:style>
  <w:style w:type="paragraph" w:styleId="af0">
    <w:name w:val="caption"/>
    <w:basedOn w:val="a"/>
    <w:next w:val="a"/>
    <w:unhideWhenUsed/>
    <w:qFormat/>
    <w:rsid w:val="000D1EF5"/>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70400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934FE"/>
    <w:rsid w:val="00200BA6"/>
    <w:rsid w:val="0022075C"/>
    <w:rsid w:val="00833049"/>
    <w:rsid w:val="00B40AEB"/>
    <w:rsid w:val="00B65812"/>
    <w:rsid w:val="00BB6AC7"/>
    <w:rsid w:val="00CC5512"/>
    <w:rsid w:val="00EA7F31"/>
    <w:rsid w:val="00F07D6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9A55A68DC6BA48E0804CDF3DE76ACA27">
    <w:name w:val="9A55A68DC6BA48E0804CDF3DE76ACA27"/>
    <w:rsid w:val="00BB6AC7"/>
    <w:pPr>
      <w:bidi/>
    </w:pPr>
  </w:style>
  <w:style w:type="paragraph" w:customStyle="1" w:styleId="B399A80F1AF9460FA9B385528897AC85">
    <w:name w:val="B399A80F1AF9460FA9B385528897AC85"/>
    <w:rsid w:val="00BB6AC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255041714</CasePartyID>
        <PartyTypeID>3</PartyTypeID>
        <ActivityStatusID>1</ActivityStatusID>
        <LegalEntityID>33187248</LegalEntityID>
        <CaseLegalEntityID>124152361</CaseLegalEntityID>
        <AssistantRoleID>27</AssistantRoleID>
        <AuthenticationTypeID>3</AuthenticationTypeID>
        <AuthenticationTypeName>חברות</AuthenticationTypeName>
        <LegalEntityNumber>513744136</LegalEntityNumber>
        <IsMainPartyType>true</IsMainPartyType>
        <CaseDisplayIdentifier>34023-11-21</CaseDisplayIdentifier>
        <CaseTypeID>15</CaseTypeID>
        <CaseTypeName>תיק משפחה (תמ"ש)</CaseTypeName>
        <CaseName>קסלר ואח' נ' פרנקל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רוני שמואל</FullName>
        <FirstName>רוני</FirstName>
        <LastName>שמואל</LastName>
        <PartyPropertyName/>
        <AuthenticationTypeAndNumber>מ.ר. 9797</AuthenticationTypeAndNumber>
        <RepresentatedOrRepresentativesNames>שרה פרנקל</RepresentatedOrRepresentativesNames>
        <RepresentatedOrRepresentativesCount>1</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234582428</CasePartyID>
        <PartyTypeID>2</PartyTypeID>
        <ActivityStatusID>1</ActivityStatusID>
        <PartyAliasID>21</PartyAliasID>
        <PartyAliasName>בא כוח נתבעים</PartyAliasName>
        <LegalEntityID>381353</LegalEntityID>
        <CaseLegalEntityID>117830657</CaseLegalEntityID>
        <AuthenticationTypeID>4</AuthenticationTypeID>
        <AuthenticationTypeName>מ.ר.</AuthenticationTypeName>
        <LegalEntityNumber>9797</LegalEntityNumber>
        <IsMainPartyType>true</IsMainPartyType>
        <CaseDisplayIdentifier>34023-11-21</CaseDisplayIdentifier>
        <CaseTypeID>15</CaseTypeID>
        <CaseTypeName>תיק משפחה (תמ"ש)</CaseTypeName>
        <CaseName>קסלר ואח' נ' פרנקל ואח'</CaseName>
        <FullAddress>בן יהודה 11 נתניה </FullAddress>
        <EmailAddress>law@ronishmuel.co.il</EmailAddress>
        <MotionID>0</MotionID>
        <CasePleaID>0</CasePleaID>
        <LinkedCaseID>0</LinkedCaseID>
        <PartyID>2</PartyID>
        <CasePartyCategoryID>2</CasePartyCategoryID>
        <LegalEntityAddressID>424335</LegalEntityAddressID>
        <LegalEntityEmailAddressID>67847402</LegalEntityEmailAddressID>
        <PleaTypeID>4</PleaTypeID>
        <LawyerOfficeName>משרד עו"ד: רוני שמואל</LawyerOfficeName>
        <LawyerOfficeID>421997</LawyerOfficeID>
        <GroupPartyAlias/>
        <IsConverted>false</IsConverted>
        <LegalEntityNameID>2337</LegalEntityNameID>
        <RepresentatedNamesOfAssistant/>
        <LegalEntityTypeID>4</LegalEntityTypeID>
        <IsVerdictExists>false</IsVerdictExists>
        <IsAsirAzir>false</IsAsirAzir>
        <MainAndSecSpec/>
        <IsPublicationProhibited>false</IsPublicationProhibited>
        <PublicationProhibitedFullName>רוני שמואל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233401669</CasePartyID>
        <PartyTypeID>3</PartyTypeID>
        <ActivityStatusID>1</ActivityStatusID>
        <OrdinalNumber>1</OrdinalNumber>
        <LegalEntityID>379242</LegalEntityID>
        <CaseLegalEntityID>117471650</CaseLegalEntityID>
        <AssistantRoleID>33</AssistantRoleID>
        <AuthenticationTypeID>13</AuthenticationTypeID>
        <AuthenticationTypeName>משרדי ממשלה</AuthenticationTypeName>
        <LegalEntityNumber>500106222</LegalEntityNumber>
        <IsMainPartyType>true</IsMainPartyType>
        <CaseDisplayIdentifier>34023-11-21</CaseDisplayIdentifier>
        <CaseTypeID>15</CaseTypeID>
        <CaseTypeName>תיק משפחה (תמ"ש)</CaseTypeName>
        <CaseName>קסלר ואח' נ' פרנקל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גדי קסלר</FullName>
        <FirstName>גדי</FirstName>
        <LastName>קסלר</LastName>
        <PartyPropertyName/>
        <AuthenticationTypeAndNumber>ת"ז 058116153</AuthenticationTypeAndNumber>
        <RepresentatedOrRepresentativesNames>שי צימרינג</RepresentatedOrRepresentativesNames>
        <RepresentatedOrRepresentativesCount>1</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233401670</CasePartyID>
        <PartyTypeID>1</PartyTypeID>
        <ActivityStatusID>1</ActivityStatusID>
        <PartyAliasID>1</PartyAliasID>
        <PartyAliasName>תובע</PartyAliasName>
        <OrdinalNumber>1</OrdinalNumber>
        <LegalEntityID>73814102</LegalEntityID>
        <CaseLegalEntityID>117471651</CaseLegalEntityID>
        <AuthenticationTypeID>1</AuthenticationTypeID>
        <AuthenticationTypeName>ת"ז</AuthenticationTypeName>
        <LegalEntityNumber>058116153</LegalEntityNumber>
        <IsMainPartyType>true</IsMainPartyType>
        <CaseDisplayIdentifier>34023-11-21</CaseDisplayIdentifier>
        <CaseTypeID>15</CaseTypeID>
        <CaseTypeName>תיק משפחה (תמ"ש)</CaseTypeName>
        <CaseName>קסלר ואח' נ' פרנקל ואח'</CaseName>
        <FullAddress>.</FullAddress>
        <MotionID>0</MotionID>
        <CasePleaID>0</CasePleaID>
        <FatherName>יצחק איזידור</FatherName>
        <LinkedCaseID>0</LinkedCaseID>
        <PartyID>1</PartyID>
        <CasePartyCategoryID>2</CasePartyCategoryID>
        <LegalEntityAddressID>85820045</LegalEntityAddressID>
        <PleaTypeID>4</PleaTypeID>
        <GroupPartyAlias>תובעים</GroupPartyAlias>
        <IsConverted>false</IsConverted>
        <LegalEntityRegisteredNameID>4512021</LegalEntityRegisteredNameID>
        <LegalEntityNameID>92227089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גדי קסלר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צימרינג</FullName>
        <FirstName>שי</FirstName>
        <LastName>צימרינג</LastName>
        <PartyPropertyName/>
        <AuthenticationTypeAndNumber>מ.ר. 40888</AuthenticationTypeAndNumber>
        <RepresentatedOrRepresentativesNames>גדי קסלר, רבקה קסלר</RepresentatedOrRepresentativesNames>
        <RepresentatedOrRepresentativesCount>2</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233401672</CasePartyID>
        <PartyTypeID>2</PartyTypeID>
        <ActivityStatusID>1</ActivityStatusID>
        <PartyAliasID>20</PartyAliasID>
        <PartyAliasName>בא כוח תובעים</PartyAliasName>
        <OrdinalNumber>1</OrdinalNumber>
        <LegalEntityID>414266</LegalEntityID>
        <CaseLegalEntityID>117471653</CaseLegalEntityID>
        <AuthenticationTypeID>4</AuthenticationTypeID>
        <AuthenticationTypeName>מ.ר.</AuthenticationTypeName>
        <LegalEntityNumber>40888</LegalEntityNumber>
        <IsMainPartyType>true</IsMainPartyType>
        <CaseDisplayIdentifier>34023-11-21</CaseDisplayIdentifier>
        <CaseTypeID>15</CaseTypeID>
        <CaseTypeName>תיק משפחה (תמ"ש)</CaseTypeName>
        <CaseName>קסלר ואח' נ' פרנקל ואח'</CaseName>
        <FullAddress>יגאל אלון 120 תל אביב -יפו </FullAddress>
        <MotionID>0</MotionID>
        <CasePleaID>0</CasePleaID>
        <FatherName xml:space="preserve">        </FatherName>
        <LinkedCaseID>0</LinkedCaseID>
        <PartyID>1</PartyID>
        <CasePartyCategoryID>2</CasePartyCategoryID>
        <LegalEntityAddressID>70158072</LegalEntityAddressID>
        <PleaTypeID>4</PleaTypeID>
        <LawyerOfficeName>משרד עו"ד: צימרינג-רוקח</LawyerOfficeName>
        <LawyerOfficeID>454910</LawyerOfficeID>
        <GroupPartyAlias/>
        <IsConverted>false</IsConverted>
        <LegalEntityNameID>35250</LegalEntityNameID>
        <RepresentatedNamesOfAssistant/>
        <LegalEntityTypeID>4</LegalEntityTypeID>
        <IsVerdictExists>false</IsVerdictExists>
        <IsAsirAzir>false</IsAsirAzir>
        <MainAndSecSpec/>
        <IsPublicationProhibited>false</IsPublicationProhibited>
        <PublicationProhibitedFullName>שי צימרינג</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ציונה גולן</FullName>
        <FirstName>ציונה</FirstName>
        <LastName>גולן</LastName>
        <PartyPropertyName/>
        <AuthenticationTypeAndNumber>ת"ז 030065619</AuthenticationTypeAndNumber>
        <RepresentatedOrRepresentativesNames/>
        <RepresentatedOrRepresentativesCount>0</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248346332</CasePartyID>
        <PartyTypeID>4</PartyTypeID>
        <ActivityStatusID>1</ActivityStatusID>
        <PartyAliasID>101</PartyAliasID>
        <PartyAliasName>עד בית משפט</PartyAliasName>
        <OrdinalNumber>1</OrdinalNumber>
        <LegalEntityID>13061852</LegalEntityID>
        <CaseLegalEntityID>122091408</CaseLegalEntityID>
        <AuthenticationTypeID>1</AuthenticationTypeID>
        <AuthenticationTypeName>ת"ז</AuthenticationTypeName>
        <LegalEntityNumber>030065619</LegalEntityNumber>
        <IsMainPartyType>true</IsMainPartyType>
        <CaseDisplayIdentifier>34023-11-21</CaseDisplayIdentifier>
        <CaseTypeID>15</CaseTypeID>
        <CaseTypeName>תיק משפחה (תמ"ש)</CaseTypeName>
        <CaseName>קסלר ואח' נ' פרנקל ואח'</CaseName>
        <FullAddress>ויצמן 44 נתניה .</FullAddress>
        <MotionID>0</MotionID>
        <CasePleaID>0</CasePleaID>
        <FatherName>מרטין</FatherName>
        <LinkedCaseID>0</LinkedCaseID>
        <PartyID>1</PartyID>
        <CasePartyCategoryID>2</CasePartyCategoryID>
        <LegalEntityAddressID>87928940</LegalEntityAddressID>
        <PleaTypeID>4</PleaTypeID>
        <GroupPartyAlias/>
        <IsConverted>false</IsConverted>
        <LegalEntityRegisteredNameID>2366779</LegalEntityRegisteredNameID>
        <LegalEntityNameID>94840803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ציונה גולן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שרה פרנקל</FullName>
        <FirstName>שרה</FirstName>
        <LastName>פרנקל</LastName>
        <PartyPropertyName/>
        <AuthenticationTypeAndNumber>ת"ז 068919349</AuthenticationTypeAndNumber>
        <RepresentatedOrRepresentativesNames>רוני שמואל</RepresentatedOrRepresentativesNames>
        <RepresentatedOrRepresentativesCount>1</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233401673</CasePartyID>
        <PartyTypeID>1</PartyTypeID>
        <ActivityStatusID>1</ActivityStatusID>
        <PartyAliasID>2</PartyAliasID>
        <PartyAliasName>נתבע</PartyAliasName>
        <OrdinalNumber>1</OrdinalNumber>
        <LegalEntityID>6220694</LegalEntityID>
        <CaseLegalEntityID>117471654</CaseLegalEntityID>
        <AuthenticationTypeID>1</AuthenticationTypeID>
        <AuthenticationTypeName>ת"ז</AuthenticationTypeName>
        <LegalEntityNumber>068919349</LegalEntityNumber>
        <IsMainPartyType>true</IsMainPartyType>
        <CaseDisplayIdentifier>34023-11-21</CaseDisplayIdentifier>
        <CaseTypeID>15</CaseTypeID>
        <CaseTypeName>תיק משפחה (תמ"ש)</CaseTypeName>
        <CaseName>קסלר ואח' נ' פרנקל ואח'</CaseName>
        <FullAddress>היסמין 8 כפר יונה </FullAddress>
        <MotionID>0</MotionID>
        <CasePleaID>0</CasePleaID>
        <FatherName>גנו</FatherName>
        <LinkedCaseID>0</LinkedCaseID>
        <PartyID>2</PartyID>
        <CasePartyCategoryID>2</CasePartyCategoryID>
        <LegalEntityAddressID>85820047</LegalEntityAddressID>
        <PleaTypeID>4</PleaTypeID>
        <GroupPartyAlias>נתבעים</GroupPartyAlias>
        <IsConverted>false</IsConverted>
        <LegalEntityRegisteredNameID>9711448</LegalEntityRegisteredNameID>
        <LegalEntityNameID>92227091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פרנקל</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רבקה קסלר</FullName>
        <FirstName>רבקה</FirstName>
        <LastName>קסלר</LastName>
        <PartyPropertyName/>
        <AuthenticationTypeAndNumber>ת"ז 024459877</AuthenticationTypeAndNumber>
        <RepresentatedOrRepresentativesNames>שי צימרינג</RepresentatedOrRepresentativesNames>
        <RepresentatedOrRepresentativesCount>1</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233401671</CasePartyID>
        <PartyTypeID>1</PartyTypeID>
        <ActivityStatusID>1</ActivityStatusID>
        <PartyAliasID>1</PartyAliasID>
        <PartyAliasName>תובע</PartyAliasName>
        <OrdinalNumber>2</OrdinalNumber>
        <LegalEntityID>75893077</LegalEntityID>
        <CaseLegalEntityID>117471652</CaseLegalEntityID>
        <AuthenticationTypeID>1</AuthenticationTypeID>
        <AuthenticationTypeName>ת"ז</AuthenticationTypeName>
        <LegalEntityNumber>024459877</LegalEntityNumber>
        <IsMainPartyType>true</IsMainPartyType>
        <CaseDisplayIdentifier>34023-11-21</CaseDisplayIdentifier>
        <CaseTypeID>15</CaseTypeID>
        <CaseTypeName>תיק משפחה (תמ"ש)</CaseTypeName>
        <CaseName>קסלר ואח' נ' פרנקל ואח'</CaseName>
        <FullAddress>.</FullAddress>
        <MotionID>0</MotionID>
        <CasePleaID>0</CasePleaID>
        <FatherName>אברהם</FatherName>
        <LinkedCaseID>0</LinkedCaseID>
        <PartyID>1</PartyID>
        <CasePartyCategoryID>2</CasePartyCategoryID>
        <LegalEntityAddressID>85820046</LegalEntityAddressID>
        <PleaTypeID>4</PleaTypeID>
        <GroupPartyAlias>תובעים</GroupPartyAlias>
        <IsConverted>false</IsConverted>
        <LegalEntityRegisteredNameID>5825318</LegalEntityRegisteredNameID>
        <LegalEntityNameID>92227090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קסלר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אברהם פרנקל (המנוח)</FullName>
        <FirstName>אברהם טיבריו</FirstName>
        <LastName>פרנקל</LastName>
        <PartyPropertyID>12</PartyPropertyID>
        <PartyPropertyName/>
        <AuthenticationTypeAndNumber>ת"ז 067392498</AuthenticationTypeAndNumber>
        <RepresentatedOrRepresentativesNames/>
        <RepresentatedOrRepresentativesCount>0</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233401674</CasePartyID>
        <PartyTypeID>1</PartyTypeID>
        <ActivityStatusID>1</ActivityStatusID>
        <PartyAliasID>2</PartyAliasID>
        <PartyAliasName>נתבע</PartyAliasName>
        <OrdinalNumber>2</OrdinalNumber>
        <LegalEntityID>80123399</LegalEntityID>
        <CaseLegalEntityID>117471655</CaseLegalEntityID>
        <AuthenticationTypeID>1</AuthenticationTypeID>
        <AuthenticationTypeName>ת"ז</AuthenticationTypeName>
        <LegalEntityNumber>067392498</LegalEntityNumber>
        <IsMainPartyType>true</IsMainPartyType>
        <CaseDisplayIdentifier>34023-11-21</CaseDisplayIdentifier>
        <CaseTypeID>15</CaseTypeID>
        <CaseTypeName>תיק משפחה (תמ"ש)</CaseTypeName>
        <CaseName>קסלר ואח' נ' פרנקל ואח'</CaseName>
        <FullAddress>באמצעות יורשיו שרה הילל גילה פרנקל</FullAddress>
        <MotionID>0</MotionID>
        <CasePleaID>0</CasePleaID>
        <FatherName>מיכאל</FatherName>
        <LinkedCaseID>0</LinkedCaseID>
        <PartyID>2</PartyID>
        <CasePartyCategoryID>2</CasePartyCategoryID>
        <LegalEntityAddressID>85820048</LegalEntityAddressID>
        <PleaTypeID>4</PleaTypeID>
        <GroupPartyAlias>נתבעים</GroupPartyAlias>
        <IsConverted>false</IsConverted>
        <LegalEntityRegisteredNameID>9711449</LegalEntityRegisteredNameID>
        <LegalEntityNameID>92227092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פרנקל (המנוח)</PublicationProhibitedFullName>
      </CaseParties>
    </CasePartiesSelectionDS>
    <DecisionName>פסק דין  שניתנה ע"י  הילה מלר-שלו</DecisionName>
    <CourtDisplayName>בית משפט לענייני משפחה בפתח תקווה</CourtDisplayName>
    <IsCaseJudgePanel>false</IsCaseJudgePanel>
    <DecisionSignatureDate>2024-08-12T09:51:51.2108799+03:00</DecisionSignatureDate>
    <OpenCaseDate>2021-11-15T08:59:00+02:00</OpenCaseDate>
    <CaseFeeSum>500000.000</CaseFeeSum>
    <DecisionTypeID>2</DecisionTypeID>
    <DecisionSignatureUserName>הילה מלר-שלו</DecisionSignatureUserName>
    <DecisionSignatureDateHebrew>2024-08-12T09:51:51.2108799+03:00</DecisionSignatureDateHebrew>
    <DecisionWriterID>027453133@GOV.IL</DecisionWriterID>
    <CourtAddress>רח' בזל 1 א', פתח תקווה -1</CourtAddress>
    <IsAutoTextInCaseExist>false</IsAutoTextInCaseExist>
    <DecisionSignatureRoleName>שופט</DecisionSignatureRoleName>
    <DecisionSignatureUserTitleName>שופטת</DecisionSignatureUserTitleName>
    <CaseName>קסלר ואח' נ' פרנקל ואח'</CaseName>
    <DecisionNumberInCase>5</DecisionNumberInCase>
  </dt_Decision>
  <dt_DecisionCase>
    <DecisionID>0</DecisionID>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255041714</CasePartyID>
        <PartyTypeID>3</PartyTypeID>
        <ActivityStatusID>1</ActivityStatusID>
        <LegalEntityID>33187248</LegalEntityID>
        <CaseLegalEntityID>124152361</CaseLegalEntityID>
        <AssistantRoleID>27</AssistantRoleID>
        <AuthenticationTypeID>3</AuthenticationTypeID>
        <AuthenticationTypeName>חברות</AuthenticationTypeName>
        <LegalEntityNumber>513744136</LegalEntityNumber>
        <IsMainPartyType>true</IsMainPartyType>
        <CaseDisplayIdentifier>34023-11-21</CaseDisplayIdentifier>
        <CaseTypeID>15</CaseTypeID>
        <CaseTypeName>תיק משפחה (תמ"ש)</CaseTypeName>
        <CaseName>קסלר ואח' נ' פרנקל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רוני שמואל</FullName>
        <FirstName>רוני</FirstName>
        <LastName>שמואל</LastName>
        <PartyPropertyName/>
        <AuthenticationTypeAndNumber>מ.ר. 9797</AuthenticationTypeAndNumber>
        <RepresentatedOrRepresentativesNames>שרה פרנקל</RepresentatedOrRepresentativesNames>
        <RepresentatedOrRepresentativesCount>1</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234582428</CasePartyID>
        <PartyTypeID>2</PartyTypeID>
        <ActivityStatusID>1</ActivityStatusID>
        <PartyAliasID>21</PartyAliasID>
        <PartyAliasName>בא כוח נתבעים</PartyAliasName>
        <LegalEntityID>381353</LegalEntityID>
        <CaseLegalEntityID>117830657</CaseLegalEntityID>
        <AuthenticationTypeID>4</AuthenticationTypeID>
        <AuthenticationTypeName>מ.ר.</AuthenticationTypeName>
        <LegalEntityNumber>9797</LegalEntityNumber>
        <IsMainPartyType>true</IsMainPartyType>
        <CaseDisplayIdentifier>34023-11-21</CaseDisplayIdentifier>
        <CaseTypeID>15</CaseTypeID>
        <CaseTypeName>תיק משפחה (תמ"ש)</CaseTypeName>
        <CaseName>קסלר ואח' נ' פרנקל ואח'</CaseName>
        <FullAddress>בן יהודה 11 נתניה </FullAddress>
        <EmailAddress>law@ronishmuel.co.il</EmailAddress>
        <MotionID>0</MotionID>
        <CasePleaID>0</CasePleaID>
        <LinkedCaseID>0</LinkedCaseID>
        <PartyID>2</PartyID>
        <CasePartyCategoryID>2</CasePartyCategoryID>
        <LegalEntityAddressID>424335</LegalEntityAddressID>
        <LegalEntityEmailAddressID>67847402</LegalEntityEmailAddressID>
        <PleaTypeID>4</PleaTypeID>
        <LawyerOfficeName>משרד עו"ד: רוני שמואל</LawyerOfficeName>
        <LawyerOfficeID>421997</LawyerOfficeID>
        <GroupPartyAlias/>
        <IsConverted>false</IsConverted>
        <LegalEntityNameID>2337</LegalEntityNameID>
        <RepresentatedNamesOfAssistant/>
        <LegalEntityTypeID>4</LegalEntityTypeID>
        <IsVerdictExists>false</IsVerdictExists>
        <IsAsirAzir>false</IsAsirAzir>
        <MainAndSecSpec/>
        <IsPublicationProhibited>false</IsPublicationProhibited>
        <PublicationProhibitedFullName>רוני שמואל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233401669</CasePartyID>
        <PartyTypeID>3</PartyTypeID>
        <ActivityStatusID>1</ActivityStatusID>
        <OrdinalNumber>1</OrdinalNumber>
        <LegalEntityID>379242</LegalEntityID>
        <CaseLegalEntityID>117471650</CaseLegalEntityID>
        <AssistantRoleID>33</AssistantRoleID>
        <AuthenticationTypeID>13</AuthenticationTypeID>
        <AuthenticationTypeName>משרדי ממשלה</AuthenticationTypeName>
        <LegalEntityNumber>500106222</LegalEntityNumber>
        <IsMainPartyType>true</IsMainPartyType>
        <CaseDisplayIdentifier>34023-11-21</CaseDisplayIdentifier>
        <CaseTypeID>15</CaseTypeID>
        <CaseTypeName>תיק משפחה (תמ"ש)</CaseTypeName>
        <CaseName>קסלר ואח' נ' פרנקל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גדי קסלר</FullName>
        <FirstName>גדי</FirstName>
        <LastName>קסלר</LastName>
        <PartyPropertyName/>
        <AuthenticationTypeAndNumber>ת"ז 058116153</AuthenticationTypeAndNumber>
        <RepresentatedOrRepresentativesNames>שי צימרינג</RepresentatedOrRepresentativesNames>
        <RepresentatedOrRepresentativesCount>1</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233401670</CasePartyID>
        <PartyTypeID>1</PartyTypeID>
        <ActivityStatusID>1</ActivityStatusID>
        <PartyAliasID>1</PartyAliasID>
        <PartyAliasName>תובע</PartyAliasName>
        <OrdinalNumber>1</OrdinalNumber>
        <LegalEntityID>73814102</LegalEntityID>
        <CaseLegalEntityID>117471651</CaseLegalEntityID>
        <AuthenticationTypeID>1</AuthenticationTypeID>
        <AuthenticationTypeName>ת"ז</AuthenticationTypeName>
        <LegalEntityNumber>058116153</LegalEntityNumber>
        <IsMainPartyType>true</IsMainPartyType>
        <CaseDisplayIdentifier>34023-11-21</CaseDisplayIdentifier>
        <CaseTypeID>15</CaseTypeID>
        <CaseTypeName>תיק משפחה (תמ"ש)</CaseTypeName>
        <CaseName>קסלר ואח' נ' פרנקל ואח'</CaseName>
        <FullAddress>.</FullAddress>
        <MotionID>0</MotionID>
        <CasePleaID>0</CasePleaID>
        <FatherName>יצחק איזידור</FatherName>
        <LinkedCaseID>0</LinkedCaseID>
        <PartyID>1</PartyID>
        <CasePartyCategoryID>2</CasePartyCategoryID>
        <LegalEntityAddressID>85820045</LegalEntityAddressID>
        <PleaTypeID>4</PleaTypeID>
        <GroupPartyAlias>תובעים</GroupPartyAlias>
        <IsConverted>false</IsConverted>
        <LegalEntityRegisteredNameID>4512021</LegalEntityRegisteredNameID>
        <LegalEntityNameID>92227089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גדי קסלר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צימרינג</FullName>
        <FirstName>שי</FirstName>
        <LastName>צימרינג</LastName>
        <PartyPropertyName/>
        <AuthenticationTypeAndNumber>מ.ר. 40888</AuthenticationTypeAndNumber>
        <RepresentatedOrRepresentativesNames>גדי קסלר, רבקה קסלר</RepresentatedOrRepresentativesNames>
        <RepresentatedOrRepresentativesCount>2</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233401672</CasePartyID>
        <PartyTypeID>2</PartyTypeID>
        <ActivityStatusID>1</ActivityStatusID>
        <PartyAliasID>20</PartyAliasID>
        <PartyAliasName>בא כוח תובעים</PartyAliasName>
        <OrdinalNumber>1</OrdinalNumber>
        <LegalEntityID>414266</LegalEntityID>
        <CaseLegalEntityID>117471653</CaseLegalEntityID>
        <AuthenticationTypeID>4</AuthenticationTypeID>
        <AuthenticationTypeName>מ.ר.</AuthenticationTypeName>
        <LegalEntityNumber>40888</LegalEntityNumber>
        <IsMainPartyType>true</IsMainPartyType>
        <CaseDisplayIdentifier>34023-11-21</CaseDisplayIdentifier>
        <CaseTypeID>15</CaseTypeID>
        <CaseTypeName>תיק משפחה (תמ"ש)</CaseTypeName>
        <CaseName>קסלר ואח' נ' פרנקל ואח'</CaseName>
        <FullAddress>יגאל אלון 120 תל אביב -יפו </FullAddress>
        <MotionID>0</MotionID>
        <CasePleaID>0</CasePleaID>
        <FatherName xml:space="preserve">        </FatherName>
        <LinkedCaseID>0</LinkedCaseID>
        <PartyID>1</PartyID>
        <CasePartyCategoryID>2</CasePartyCategoryID>
        <LegalEntityAddressID>70158072</LegalEntityAddressID>
        <PleaTypeID>4</PleaTypeID>
        <LawyerOfficeName>משרד עו"ד: צימרינג-רוקח</LawyerOfficeName>
        <LawyerOfficeID>454910</LawyerOfficeID>
        <GroupPartyAlias/>
        <IsConverted>false</IsConverted>
        <LegalEntityNameID>35250</LegalEntityNameID>
        <RepresentatedNamesOfAssistant/>
        <LegalEntityTypeID>4</LegalEntityTypeID>
        <IsVerdictExists>false</IsVerdictExists>
        <IsAsirAzir>false</IsAsirAzir>
        <MainAndSecSpec/>
        <IsPublicationProhibited>false</IsPublicationProhibited>
        <PublicationProhibitedFullName>שי צימרינג</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ציונה גולן</FullName>
        <FirstName>ציונה</FirstName>
        <LastName>גולן</LastName>
        <PartyPropertyName/>
        <AuthenticationTypeAndNumber>ת"ז 030065619</AuthenticationTypeAndNumber>
        <RepresentatedOrRepresentativesNames/>
        <RepresentatedOrRepresentativesCount>0</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248346332</CasePartyID>
        <PartyTypeID>4</PartyTypeID>
        <ActivityStatusID>1</ActivityStatusID>
        <PartyAliasID>101</PartyAliasID>
        <PartyAliasName>עד בית משפט</PartyAliasName>
        <OrdinalNumber>1</OrdinalNumber>
        <LegalEntityID>13061852</LegalEntityID>
        <CaseLegalEntityID>122091408</CaseLegalEntityID>
        <AuthenticationTypeID>1</AuthenticationTypeID>
        <AuthenticationTypeName>ת"ז</AuthenticationTypeName>
        <LegalEntityNumber>030065619</LegalEntityNumber>
        <IsMainPartyType>true</IsMainPartyType>
        <CaseDisplayIdentifier>34023-11-21</CaseDisplayIdentifier>
        <CaseTypeID>15</CaseTypeID>
        <CaseTypeName>תיק משפחה (תמ"ש)</CaseTypeName>
        <CaseName>קסלר ואח' נ' פרנקל ואח'</CaseName>
        <FullAddress>ויצמן 44 נתניה .</FullAddress>
        <MotionID>0</MotionID>
        <CasePleaID>0</CasePleaID>
        <FatherName>מרטין</FatherName>
        <LinkedCaseID>0</LinkedCaseID>
        <PartyID>1</PartyID>
        <CasePartyCategoryID>2</CasePartyCategoryID>
        <LegalEntityAddressID>87928940</LegalEntityAddressID>
        <PleaTypeID>4</PleaTypeID>
        <GroupPartyAlias/>
        <IsConverted>false</IsConverted>
        <LegalEntityRegisteredNameID>2366779</LegalEntityRegisteredNameID>
        <LegalEntityNameID>94840803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ציונה גולן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שרה פרנקל</FullName>
        <FirstName>שרה</FirstName>
        <LastName>פרנקל</LastName>
        <PartyPropertyName/>
        <AuthenticationTypeAndNumber>ת"ז 068919349</AuthenticationTypeAndNumber>
        <RepresentatedOrRepresentativesNames>רוני שמואל</RepresentatedOrRepresentativesNames>
        <RepresentatedOrRepresentativesCount>1</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233401673</CasePartyID>
        <PartyTypeID>1</PartyTypeID>
        <ActivityStatusID>1</ActivityStatusID>
        <PartyAliasID>2</PartyAliasID>
        <PartyAliasName>נתבע</PartyAliasName>
        <OrdinalNumber>1</OrdinalNumber>
        <LegalEntityID>6220694</LegalEntityID>
        <CaseLegalEntityID>117471654</CaseLegalEntityID>
        <AuthenticationTypeID>1</AuthenticationTypeID>
        <AuthenticationTypeName>ת"ז</AuthenticationTypeName>
        <LegalEntityNumber>068919349</LegalEntityNumber>
        <IsMainPartyType>true</IsMainPartyType>
        <CaseDisplayIdentifier>34023-11-21</CaseDisplayIdentifier>
        <CaseTypeID>15</CaseTypeID>
        <CaseTypeName>תיק משפחה (תמ"ש)</CaseTypeName>
        <CaseName>קסלר ואח' נ' פרנקל ואח'</CaseName>
        <FullAddress>היסמין 8 כפר יונה </FullAddress>
        <MotionID>0</MotionID>
        <CasePleaID>0</CasePleaID>
        <FatherName>גנו</FatherName>
        <LinkedCaseID>0</LinkedCaseID>
        <PartyID>2</PartyID>
        <CasePartyCategoryID>2</CasePartyCategoryID>
        <LegalEntityAddressID>85820047</LegalEntityAddressID>
        <PleaTypeID>4</PleaTypeID>
        <GroupPartyAlias>נתבעים</GroupPartyAlias>
        <IsConverted>false</IsConverted>
        <LegalEntityRegisteredNameID>9711448</LegalEntityRegisteredNameID>
        <LegalEntityNameID>92227091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פרנקל</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רבקה קסלר</FullName>
        <FirstName>רבקה</FirstName>
        <LastName>קסלר</LastName>
        <PartyPropertyName/>
        <AuthenticationTypeAndNumber>ת"ז 024459877</AuthenticationTypeAndNumber>
        <RepresentatedOrRepresentativesNames>שי צימרינג</RepresentatedOrRepresentativesNames>
        <RepresentatedOrRepresentativesCount>1</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233401671</CasePartyID>
        <PartyTypeID>1</PartyTypeID>
        <ActivityStatusID>1</ActivityStatusID>
        <PartyAliasID>1</PartyAliasID>
        <PartyAliasName>תובע</PartyAliasName>
        <OrdinalNumber>2</OrdinalNumber>
        <LegalEntityID>75893077</LegalEntityID>
        <CaseLegalEntityID>117471652</CaseLegalEntityID>
        <AuthenticationTypeID>1</AuthenticationTypeID>
        <AuthenticationTypeName>ת"ז</AuthenticationTypeName>
        <LegalEntityNumber>024459877</LegalEntityNumber>
        <IsMainPartyType>true</IsMainPartyType>
        <CaseDisplayIdentifier>34023-11-21</CaseDisplayIdentifier>
        <CaseTypeID>15</CaseTypeID>
        <CaseTypeName>תיק משפחה (תמ"ש)</CaseTypeName>
        <CaseName>קסלר ואח' נ' פרנקל ואח'</CaseName>
        <FullAddress>.</FullAddress>
        <MotionID>0</MotionID>
        <CasePleaID>0</CasePleaID>
        <FatherName>אברהם</FatherName>
        <LinkedCaseID>0</LinkedCaseID>
        <PartyID>1</PartyID>
        <CasePartyCategoryID>2</CasePartyCategoryID>
        <LegalEntityAddressID>85820046</LegalEntityAddressID>
        <PleaTypeID>4</PleaTypeID>
        <GroupPartyAlias>תובעים</GroupPartyAlias>
        <IsConverted>false</IsConverted>
        <LegalEntityRegisteredNameID>5825318</LegalEntityRegisteredNameID>
        <LegalEntityNameID>92227090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קסלר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אברהם פרנקל (המנוח)</FullName>
        <FirstName>אברהם טיבריו</FirstName>
        <LastName>פרנקל</LastName>
        <PartyPropertyID>12</PartyPropertyID>
        <PartyPropertyName/>
        <AuthenticationTypeAndNumber>ת"ז 067392498</AuthenticationTypeAndNumber>
        <RepresentatedOrRepresentativesNames/>
        <RepresentatedOrRepresentativesCount>0</RepresentatedOrRepresentativesCount>
        <InvitedBy/>
        <CaseID>78795964</CaseID>
        <CaseJudicialPersonPresentationDS>
          <CaseJudicalPersonActive>
            <CaseID>78795964</CaseID>
            <JudicialPersonID>027453133@GOV.IL</JudicialPersonID>
            <JudicialPersonTypeID>1</JudicialPersonTypeID>
            <JudicialTypeID>1</JudicialTypeID>
            <IsChairman>false</IsChairman>
            <TreatmentStartDate>2021-11-15T09:15:50.973+02:00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233401674</CasePartyID>
        <PartyTypeID>1</PartyTypeID>
        <ActivityStatusID>1</ActivityStatusID>
        <PartyAliasID>2</PartyAliasID>
        <PartyAliasName>נתבע</PartyAliasName>
        <OrdinalNumber>2</OrdinalNumber>
        <LegalEntityID>80123399</LegalEntityID>
        <CaseLegalEntityID>117471655</CaseLegalEntityID>
        <AuthenticationTypeID>1</AuthenticationTypeID>
        <AuthenticationTypeName>ת"ז</AuthenticationTypeName>
        <LegalEntityNumber>067392498</LegalEntityNumber>
        <IsMainPartyType>true</IsMainPartyType>
        <CaseDisplayIdentifier>34023-11-21</CaseDisplayIdentifier>
        <CaseTypeID>15</CaseTypeID>
        <CaseTypeName>תיק משפחה (תמ"ש)</CaseTypeName>
        <CaseName>קסלר ואח' נ' פרנקל ואח'</CaseName>
        <FullAddress>באמצעות יורשיו שרה הילל גילה פרנקל</FullAddress>
        <MotionID>0</MotionID>
        <CasePleaID>0</CasePleaID>
        <FatherName>מיכאל</FatherName>
        <LinkedCaseID>0</LinkedCaseID>
        <PartyID>2</PartyID>
        <CasePartyCategoryID>2</CasePartyCategoryID>
        <LegalEntityAddressID>85820048</LegalEntityAddressID>
        <PleaTypeID>4</PleaTypeID>
        <GroupPartyAlias>נתבעים</GroupPartyAlias>
        <IsConverted>false</IsConverted>
        <LegalEntityRegisteredNameID>9711449</LegalEntityRegisteredNameID>
        <LegalEntityNameID>92227092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פרנקל (המנוח)</PublicationProhibitedFullName>
      </CaseParties>
    </CasePartiesSelectionDS>
    <CaseName>קסלר ואח' נ' פרנקל ואח'</CaseName>
    <CaseDisplayIdentifier>34023-11-21</CaseDisplayIdentifier>
    <CaseInterestID>10115</CaseInterestID>
    <CaseTypeShortName>תמ"ש</CaseTypeShortName>
  </dt_DecisionCase>
  <dt_DecisionJudgePanel>
    <JudgeID>027453133@GOV.IL</JudgeID>
    <DisplayName>הילה מלר-שלו</DisplayName>
    <RoleName>שופט</RoleName>
    <UserTitleName>שופטת</UserTitleName>
  </dt_DecisionJudgePanel>
  <dt_LegalEntityDetails>
    <Fax>09-8622246</Fax>
    <Phone>09-8622245</Phone>
    <PartyID>2</PartyID>
    <PartyTypeID>2</PartyTypeID>
    <DecisionID>0</DecisionID>
    <StreetName>בן יהודה 11</StreetName>
    <ZipCode>42305</ZipCode>
    <CityName>נתניה</CityName>
    <FullName>רוני שמואל</FullName>
    <Email>law@ronishmuel.co.il</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AddressDesc>.</AddressDesc>
    <PartyID>1</PartyID>
    <PartyTypeID>1</PartyTypeID>
    <DecisionID>0</DecisionID>
    <FullName>גדי קסלר</FullName>
    <IsPublicationProhibited>false</IsPublicationProhibited>
  </dt_LegalEntityDetails>
  <dt_LegalEntityDetails>
    <Fax>03-6179009</Fax>
    <Phone>077-3406506</Phone>
    <PartyID>1</PartyID>
    <PartyTypeID>2</PartyTypeID>
    <DecisionID>0</DecisionID>
    <StreetName>יגאל אלון 120</StreetName>
    <CityName>תל אביב -יפו</CityName>
    <FullName>שי צימרינג</FullName>
    <Email>sam@lawzr.com</Email>
    <IsPublicationProhibited>false</IsPublicationProhibited>
  </dt_LegalEntityDetails>
  <dt_LegalEntityDetails>
    <PartyID>2</PartyID>
    <PartyTypeID>1</PartyTypeID>
    <DecisionID>0</DecisionID>
    <StreetName>היסמין 8 </StreetName>
    <CityName>כפר יונה</CityName>
    <FullName>שרה  פרנקל</FullName>
    <IsPublicationProhibited>false</IsPublicationProhibited>
  </dt_LegalEntityDetails>
  <dt_LegalEntityDetails>
    <PartyID>1</PartyID>
    <PartyTypeID>4</PartyTypeID>
    <DecisionID>0</DecisionID>
    <IsPublicationProhibited>false</IsPublicationProhibited>
  </dt_LegalEntityDetails>
  <dt_LegalEntityDetails>
    <AddressDesc>.</AddressDesc>
    <PartyID>1</PartyID>
    <PartyTypeID>1</PartyTypeID>
    <DecisionID>0</DecisionID>
    <FullName>רבקה קסלר</FullName>
    <IsPublicationProhibited>false</IsPublicationProhibited>
  </dt_LegalEntityDetails>
  <dt_LegalEntityDetails>
    <AddressDesc>באמצעות יורשיו שרה הילל גילה פרנקל</AddressDesc>
    <PartyID>2</PartyID>
    <PartyTypeID>1</PartyTypeID>
    <DecisionID>0</DecisionID>
    <FullName>אברהם פרנקל</FullName>
    <IsPublicationProhibited>false</IsPublicationProhibited>
  </dt_LegalEntityDetails>
  <dt_CaseJudicalPersonActive>
    <CaseJudicalPerson>שופטת הילה מלר-שלו</CaseJudicalPerson>
  </dt_CaseJudicalPersonActive>
  <dt_Sitting>
    <PreviousMeetingDate>2023-05-10T12:00:00+03:00</PreviousMeetingDate>
    <PreviousSittingTypeID>2</PreviousSittingTypeID>
    <PreviousMeetingDisplayName>שופטת הילה מלר-שלו</PreviousMeetingDisplayName>
    <PreviousMeetingRoleName>שופט</PreviousMeetingRoleName>
    <PreviousMeetingUserTitleName>שופטת</PreviousMeetingUserTitleName>
    <PreviousMeetingUserUPN>027453133@GOV.IL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E9191-5CF9-4398-BDF5-2E4C6CBB5D7D}">
  <ds:schemaRefs/>
</ds:datastoreItem>
</file>

<file path=customXml/itemProps2.xml><?xml version="1.0" encoding="utf-8"?>
<ds:datastoreItem xmlns:ds="http://schemas.openxmlformats.org/officeDocument/2006/customXml" ds:itemID="{0431C32C-B897-4F19-A56E-3403C1151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3428</Words>
  <Characters>17145</Characters>
  <Application>Microsoft Office Word</Application>
  <DocSecurity>0</DocSecurity>
  <Lines>142</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2024-12-31T10:02:00Z</dcterms:created>
  <dcterms:modified xsi:type="dcterms:W3CDTF">2024-12-31T10:02:00Z</dcterms:modified>
</cp:coreProperties>
</file>